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89E3" w14:textId="77777777" w:rsidR="00010379" w:rsidRPr="000E69FF" w:rsidRDefault="00010379" w:rsidP="00010379">
      <w:pPr>
        <w:pStyle w:val="Heading1"/>
        <w:pageBreakBefore/>
        <w:rPr>
          <w:rFonts w:eastAsia="Times New Roman"/>
        </w:rPr>
      </w:pPr>
      <w:r>
        <w:rPr>
          <w:rFonts w:eastAsia="Times New Roman"/>
        </w:rPr>
        <w:t>Instructions for filling in the NU Rate Estimation Template</w:t>
      </w:r>
    </w:p>
    <w:p w14:paraId="0D3273A7" w14:textId="0C98E04A" w:rsidR="00010379" w:rsidRPr="00E5630B" w:rsidRDefault="00010379" w:rsidP="00010379">
      <w:pPr>
        <w:spacing w:after="0" w:line="240" w:lineRule="auto"/>
        <w:rPr>
          <w:rFonts w:eastAsia="Times New Roman" w:cstheme="minorHAnsi"/>
        </w:rPr>
      </w:pPr>
      <w:r w:rsidRPr="00E5630B">
        <w:rPr>
          <w:rFonts w:eastAsia="Times New Roman" w:cstheme="minorHAnsi"/>
        </w:rPr>
        <w:t xml:space="preserve">The Rate Development </w:t>
      </w:r>
      <w:r>
        <w:rPr>
          <w:rFonts w:eastAsia="Times New Roman" w:cstheme="minorHAnsi"/>
        </w:rPr>
        <w:t>Template</w:t>
      </w:r>
      <w:r w:rsidRPr="00E5630B">
        <w:rPr>
          <w:rFonts w:eastAsia="Times New Roman" w:cstheme="minorHAnsi"/>
        </w:rPr>
        <w:t xml:space="preserve"> is set up to perform the necessary calculations automatically after the pr</w:t>
      </w:r>
      <w:r>
        <w:rPr>
          <w:rFonts w:eastAsia="Times New Roman" w:cstheme="minorHAnsi"/>
        </w:rPr>
        <w:t>oper information is entered</w:t>
      </w:r>
      <w:r w:rsidR="009E7A02">
        <w:rPr>
          <w:rFonts w:eastAsia="Times New Roman" w:cstheme="minorHAnsi"/>
        </w:rPr>
        <w:t xml:space="preserve">. </w:t>
      </w:r>
      <w:r w:rsidR="009E7A02" w:rsidRPr="00F0307B">
        <w:rPr>
          <w:rFonts w:eastAsia="Times New Roman" w:cstheme="minorHAnsi"/>
          <w:b/>
          <w:bCs/>
        </w:rPr>
        <w:t>Entries should only be made</w:t>
      </w:r>
      <w:r w:rsidRPr="00F0307B">
        <w:rPr>
          <w:rFonts w:eastAsia="Times New Roman" w:cstheme="minorHAnsi"/>
          <w:b/>
          <w:bCs/>
        </w:rPr>
        <w:t xml:space="preserve"> in the </w:t>
      </w:r>
      <w:r w:rsidR="00493A45" w:rsidRPr="00F0307B">
        <w:rPr>
          <w:rFonts w:eastAsia="Times New Roman" w:cstheme="minorHAnsi"/>
          <w:b/>
          <w:bCs/>
        </w:rPr>
        <w:t xml:space="preserve">blue </w:t>
      </w:r>
      <w:r w:rsidRPr="00F0307B">
        <w:rPr>
          <w:rFonts w:eastAsia="Times New Roman" w:cstheme="minorHAnsi"/>
          <w:b/>
          <w:bCs/>
        </w:rPr>
        <w:t>shaded areas</w:t>
      </w:r>
      <w:r w:rsidR="009E7A02" w:rsidRPr="00F0307B">
        <w:rPr>
          <w:rFonts w:eastAsia="Times New Roman" w:cstheme="minorHAnsi"/>
          <w:b/>
          <w:bCs/>
        </w:rPr>
        <w:t xml:space="preserve"> of each spreadsheet in the workbook</w:t>
      </w:r>
      <w:r w:rsidRPr="00E5630B">
        <w:rPr>
          <w:rFonts w:eastAsia="Times New Roman" w:cstheme="minorHAnsi"/>
        </w:rPr>
        <w:t xml:space="preserve">. The workbook </w:t>
      </w:r>
      <w:r w:rsidR="00166F1C">
        <w:rPr>
          <w:rFonts w:eastAsia="Times New Roman" w:cstheme="minorHAnsi"/>
        </w:rPr>
        <w:t xml:space="preserve">projects for </w:t>
      </w:r>
      <w:r w:rsidR="008A00F7">
        <w:rPr>
          <w:rFonts w:eastAsia="Times New Roman" w:cstheme="minorHAnsi"/>
        </w:rPr>
        <w:t>3</w:t>
      </w:r>
      <w:r w:rsidR="00166F1C">
        <w:rPr>
          <w:rFonts w:eastAsia="Times New Roman" w:cstheme="minorHAnsi"/>
        </w:rPr>
        <w:t xml:space="preserve"> years and </w:t>
      </w:r>
      <w:r w:rsidRPr="00E5630B">
        <w:rPr>
          <w:rFonts w:eastAsia="Times New Roman" w:cstheme="minorHAnsi"/>
        </w:rPr>
        <w:t>contains the following tabs:</w:t>
      </w:r>
    </w:p>
    <w:p w14:paraId="638B8B42" w14:textId="2A93F945" w:rsidR="00010379" w:rsidRPr="00531E70" w:rsidRDefault="00010379" w:rsidP="00010379">
      <w:pPr>
        <w:pStyle w:val="ListParagraph"/>
        <w:numPr>
          <w:ilvl w:val="0"/>
          <w:numId w:val="1"/>
        </w:numPr>
        <w:spacing w:after="0" w:line="240" w:lineRule="auto"/>
        <w:rPr>
          <w:rFonts w:eastAsia="Times New Roman" w:cstheme="minorHAnsi"/>
          <w:b/>
        </w:rPr>
      </w:pPr>
      <w:r w:rsidRPr="00E5630B">
        <w:rPr>
          <w:rFonts w:eastAsia="Times New Roman" w:cstheme="minorHAnsi"/>
          <w:b/>
        </w:rPr>
        <w:t>Menu</w:t>
      </w:r>
      <w:r w:rsidRPr="00E5630B">
        <w:rPr>
          <w:rFonts w:eastAsia="Times New Roman" w:cstheme="minorHAnsi"/>
        </w:rPr>
        <w:t>: Directory of pages in the workbook</w:t>
      </w:r>
    </w:p>
    <w:p w14:paraId="09CE9307" w14:textId="4B3C011E" w:rsidR="00493A45" w:rsidRPr="00531E70" w:rsidRDefault="00493A45" w:rsidP="00010379">
      <w:pPr>
        <w:pStyle w:val="ListParagraph"/>
        <w:numPr>
          <w:ilvl w:val="0"/>
          <w:numId w:val="1"/>
        </w:numPr>
        <w:spacing w:after="0" w:line="240" w:lineRule="auto"/>
        <w:rPr>
          <w:rFonts w:eastAsia="Times New Roman" w:cstheme="minorHAnsi"/>
          <w:bCs/>
        </w:rPr>
      </w:pPr>
      <w:r>
        <w:rPr>
          <w:rFonts w:eastAsia="Times New Roman" w:cstheme="minorHAnsi"/>
          <w:b/>
        </w:rPr>
        <w:t xml:space="preserve">Budget: </w:t>
      </w:r>
      <w:r w:rsidRPr="00531E70">
        <w:rPr>
          <w:rFonts w:eastAsia="Times New Roman" w:cstheme="minorHAnsi"/>
          <w:bCs/>
        </w:rPr>
        <w:t xml:space="preserve">Total </w:t>
      </w:r>
      <w:r>
        <w:rPr>
          <w:rFonts w:eastAsia="Times New Roman" w:cstheme="minorHAnsi"/>
          <w:bCs/>
        </w:rPr>
        <w:t xml:space="preserve">Projected </w:t>
      </w:r>
      <w:r w:rsidRPr="00531E70">
        <w:rPr>
          <w:rFonts w:eastAsia="Times New Roman" w:cstheme="minorHAnsi"/>
          <w:bCs/>
        </w:rPr>
        <w:t>Budget</w:t>
      </w:r>
      <w:r>
        <w:rPr>
          <w:rFonts w:eastAsia="Times New Roman" w:cstheme="minorHAnsi"/>
          <w:bCs/>
        </w:rPr>
        <w:t>,</w:t>
      </w:r>
      <w:r w:rsidRPr="00531E70">
        <w:rPr>
          <w:rFonts w:eastAsia="Times New Roman" w:cstheme="minorHAnsi"/>
          <w:bCs/>
        </w:rPr>
        <w:t xml:space="preserve"> </w:t>
      </w:r>
      <w:r>
        <w:rPr>
          <w:rFonts w:eastAsia="Times New Roman" w:cstheme="minorHAnsi"/>
          <w:bCs/>
        </w:rPr>
        <w:t xml:space="preserve">Projected Revenue, and Surplus/Deficit over </w:t>
      </w:r>
      <w:r w:rsidR="008A00F7">
        <w:rPr>
          <w:rFonts w:eastAsia="Times New Roman" w:cstheme="minorHAnsi"/>
          <w:bCs/>
        </w:rPr>
        <w:t>3</w:t>
      </w:r>
      <w:r>
        <w:rPr>
          <w:rFonts w:eastAsia="Times New Roman" w:cstheme="minorHAnsi"/>
          <w:bCs/>
        </w:rPr>
        <w:t xml:space="preserve"> years. </w:t>
      </w:r>
    </w:p>
    <w:p w14:paraId="7B6A48A7" w14:textId="5A1D745F" w:rsidR="00010379" w:rsidRPr="00553FB8" w:rsidRDefault="00010379" w:rsidP="001074E7">
      <w:pPr>
        <w:pStyle w:val="ListParagraph"/>
        <w:numPr>
          <w:ilvl w:val="0"/>
          <w:numId w:val="1"/>
        </w:numPr>
        <w:spacing w:after="0" w:line="240" w:lineRule="auto"/>
        <w:rPr>
          <w:rFonts w:eastAsia="Times New Roman" w:cstheme="minorHAnsi"/>
          <w:b/>
        </w:rPr>
      </w:pPr>
      <w:r w:rsidRPr="00553FB8">
        <w:rPr>
          <w:rFonts w:eastAsia="Times New Roman" w:cstheme="minorHAnsi"/>
          <w:b/>
        </w:rPr>
        <w:t xml:space="preserve">Rate: </w:t>
      </w:r>
      <w:r w:rsidR="00F0307B">
        <w:rPr>
          <w:rFonts w:eastAsia="Times New Roman" w:cstheme="minorHAnsi"/>
          <w:b/>
        </w:rPr>
        <w:t>(</w:t>
      </w:r>
      <w:r w:rsidR="00F0307B" w:rsidRPr="00553FB8">
        <w:rPr>
          <w:rFonts w:eastAsia="Times New Roman" w:cstheme="minorHAnsi"/>
          <w:bCs/>
        </w:rPr>
        <w:t xml:space="preserve">Rate-Year 1 to Rate-Year </w:t>
      </w:r>
      <w:r w:rsidR="008A00F7">
        <w:rPr>
          <w:rFonts w:eastAsia="Times New Roman" w:cstheme="minorHAnsi"/>
          <w:bCs/>
        </w:rPr>
        <w:t>3</w:t>
      </w:r>
      <w:r w:rsidR="00F0307B">
        <w:rPr>
          <w:rFonts w:eastAsia="Times New Roman" w:cstheme="minorHAnsi"/>
          <w:bCs/>
        </w:rPr>
        <w:t>)</w:t>
      </w:r>
      <w:r w:rsidR="00F0307B" w:rsidRPr="00553FB8">
        <w:rPr>
          <w:rFonts w:eastAsia="Times New Roman" w:cstheme="minorHAnsi"/>
          <w:bCs/>
        </w:rPr>
        <w:t xml:space="preserve"> </w:t>
      </w:r>
      <w:r w:rsidR="000B1FDB" w:rsidRPr="00553FB8">
        <w:rPr>
          <w:rFonts w:eastAsia="Times New Roman" w:cstheme="minorHAnsi"/>
          <w:bCs/>
        </w:rPr>
        <w:t>B</w:t>
      </w:r>
      <w:r w:rsidR="00B53746" w:rsidRPr="00553FB8">
        <w:rPr>
          <w:rFonts w:eastAsia="Times New Roman" w:cstheme="minorHAnsi"/>
          <w:bCs/>
        </w:rPr>
        <w:t>illing rate development worksheet</w:t>
      </w:r>
      <w:r w:rsidR="00553FB8" w:rsidRPr="00553FB8">
        <w:rPr>
          <w:rFonts w:eastAsia="Times New Roman" w:cstheme="minorHAnsi"/>
          <w:bCs/>
        </w:rPr>
        <w:t>s</w:t>
      </w:r>
      <w:r w:rsidR="00B53746" w:rsidRPr="00553FB8">
        <w:rPr>
          <w:rFonts w:eastAsia="Times New Roman" w:cstheme="minorHAnsi"/>
          <w:bCs/>
        </w:rPr>
        <w:t xml:space="preserve"> </w:t>
      </w:r>
      <w:r w:rsidR="000B1FDB" w:rsidRPr="00553FB8">
        <w:rPr>
          <w:rFonts w:eastAsia="Times New Roman" w:cstheme="minorHAnsi"/>
          <w:bCs/>
        </w:rPr>
        <w:t>divided by year onto separate tab</w:t>
      </w:r>
      <w:r w:rsidR="00F0307B">
        <w:rPr>
          <w:rFonts w:eastAsia="Times New Roman" w:cstheme="minorHAnsi"/>
          <w:bCs/>
        </w:rPr>
        <w:t>s</w:t>
      </w:r>
      <w:r w:rsidR="0055342A" w:rsidRPr="00553FB8">
        <w:rPr>
          <w:rFonts w:eastAsia="Times New Roman" w:cstheme="minorHAnsi"/>
        </w:rPr>
        <w:t>.</w:t>
      </w:r>
      <w:r w:rsidR="00553FB8" w:rsidRPr="00553FB8">
        <w:rPr>
          <w:rFonts w:eastAsia="Times New Roman" w:cstheme="minorHAnsi"/>
        </w:rPr>
        <w:t xml:space="preserve"> These worksheets summarize</w:t>
      </w:r>
      <w:r w:rsidR="00B53746" w:rsidRPr="00553FB8">
        <w:rPr>
          <w:rFonts w:eastAsia="Times New Roman" w:cstheme="minorHAnsi"/>
        </w:rPr>
        <w:t xml:space="preserve"> </w:t>
      </w:r>
      <w:r w:rsidRPr="00553FB8">
        <w:rPr>
          <w:rFonts w:eastAsia="Times New Roman" w:cstheme="minorHAnsi"/>
        </w:rPr>
        <w:t>costs</w:t>
      </w:r>
      <w:r w:rsidR="00B53746" w:rsidRPr="00553FB8">
        <w:rPr>
          <w:rFonts w:eastAsia="Times New Roman" w:cstheme="minorHAnsi"/>
        </w:rPr>
        <w:t xml:space="preserve"> </w:t>
      </w:r>
      <w:r w:rsidR="000207A5">
        <w:rPr>
          <w:rFonts w:eastAsia="Times New Roman" w:cstheme="minorHAnsi"/>
        </w:rPr>
        <w:t>estimates used to determine rates for services, and usage estimates used to predict</w:t>
      </w:r>
      <w:r w:rsidRPr="00553FB8">
        <w:rPr>
          <w:rFonts w:eastAsia="Times New Roman" w:cstheme="minorHAnsi"/>
        </w:rPr>
        <w:t xml:space="preserve"> </w:t>
      </w:r>
      <w:r w:rsidR="005920FB" w:rsidRPr="00553FB8">
        <w:rPr>
          <w:rFonts w:eastAsia="Times New Roman" w:cstheme="minorHAnsi"/>
        </w:rPr>
        <w:t>revenue</w:t>
      </w:r>
    </w:p>
    <w:p w14:paraId="2F88F4B3" w14:textId="5C3410D4" w:rsidR="00010379" w:rsidRPr="000207A5" w:rsidRDefault="009D133F" w:rsidP="001074E7">
      <w:pPr>
        <w:pStyle w:val="ListParagraph"/>
        <w:numPr>
          <w:ilvl w:val="0"/>
          <w:numId w:val="1"/>
        </w:numPr>
        <w:spacing w:after="0" w:line="240" w:lineRule="auto"/>
        <w:rPr>
          <w:rFonts w:eastAsia="Times New Roman" w:cstheme="minorHAnsi"/>
          <w:b/>
        </w:rPr>
      </w:pPr>
      <w:r w:rsidRPr="000207A5">
        <w:rPr>
          <w:rFonts w:eastAsia="Times New Roman" w:cstheme="minorHAnsi"/>
          <w:b/>
        </w:rPr>
        <w:t>Salary &amp; Fringe</w:t>
      </w:r>
      <w:r w:rsidR="00493A45" w:rsidRPr="000207A5">
        <w:rPr>
          <w:rFonts w:eastAsia="Times New Roman" w:cstheme="minorHAnsi"/>
          <w:b/>
        </w:rPr>
        <w:t xml:space="preserve">: </w:t>
      </w:r>
      <w:r w:rsidR="00135A2A" w:rsidRPr="000207A5">
        <w:rPr>
          <w:rFonts w:eastAsia="Times New Roman" w:cstheme="minorHAnsi"/>
        </w:rPr>
        <w:t>Worksheet for</w:t>
      </w:r>
      <w:r w:rsidR="00010379" w:rsidRPr="000207A5">
        <w:rPr>
          <w:rFonts w:eastAsia="Times New Roman" w:cstheme="minorHAnsi"/>
        </w:rPr>
        <w:t xml:space="preserve"> personnel, salaries</w:t>
      </w:r>
      <w:r w:rsidR="00135A2A" w:rsidRPr="000207A5">
        <w:rPr>
          <w:rFonts w:eastAsia="Times New Roman" w:cstheme="minorHAnsi"/>
        </w:rPr>
        <w:t xml:space="preserve"> </w:t>
      </w:r>
      <w:r w:rsidR="00010379" w:rsidRPr="000207A5">
        <w:rPr>
          <w:rFonts w:eastAsia="Times New Roman" w:cstheme="minorHAnsi"/>
        </w:rPr>
        <w:t>and wages</w:t>
      </w:r>
      <w:r w:rsidR="00135A2A" w:rsidRPr="000207A5">
        <w:rPr>
          <w:rFonts w:eastAsia="Times New Roman" w:cstheme="minorHAnsi"/>
        </w:rPr>
        <w:t>, and F</w:t>
      </w:r>
      <w:r w:rsidRPr="000207A5">
        <w:rPr>
          <w:rFonts w:eastAsia="Times New Roman" w:cstheme="minorHAnsi"/>
        </w:rPr>
        <w:t>ringe</w:t>
      </w:r>
      <w:r w:rsidR="00010379" w:rsidRPr="000207A5">
        <w:rPr>
          <w:rFonts w:eastAsia="Times New Roman" w:cstheme="minorHAnsi"/>
        </w:rPr>
        <w:t xml:space="preserve"> </w:t>
      </w:r>
      <w:r w:rsidR="00135A2A" w:rsidRPr="000207A5">
        <w:rPr>
          <w:rFonts w:eastAsia="Times New Roman" w:cstheme="minorHAnsi"/>
        </w:rPr>
        <w:t>B</w:t>
      </w:r>
      <w:r w:rsidR="00010379" w:rsidRPr="000207A5">
        <w:rPr>
          <w:rFonts w:eastAsia="Times New Roman" w:cstheme="minorHAnsi"/>
        </w:rPr>
        <w:t xml:space="preserve">enefits associated with </w:t>
      </w:r>
      <w:r w:rsidR="00D0228A">
        <w:t>shared facility</w:t>
      </w:r>
      <w:r w:rsidR="00010379" w:rsidRPr="000207A5">
        <w:rPr>
          <w:rFonts w:eastAsia="Times New Roman" w:cstheme="minorHAnsi"/>
        </w:rPr>
        <w:t xml:space="preserve"> personnel</w:t>
      </w:r>
      <w:r w:rsidR="00135A2A" w:rsidRPr="000207A5">
        <w:rPr>
          <w:rFonts w:eastAsia="Times New Roman" w:cstheme="minorHAnsi"/>
        </w:rPr>
        <w:t xml:space="preserve">. Fringe </w:t>
      </w:r>
      <w:r w:rsidR="00BD6032">
        <w:rPr>
          <w:rFonts w:eastAsia="Times New Roman" w:cstheme="minorHAnsi"/>
        </w:rPr>
        <w:t>Benefits are automatically calculated by the worksheet from the Fring</w:t>
      </w:r>
      <w:r w:rsidR="001074E7">
        <w:rPr>
          <w:rFonts w:eastAsia="Times New Roman" w:cstheme="minorHAnsi"/>
        </w:rPr>
        <w:t xml:space="preserve">e Rate. </w:t>
      </w:r>
    </w:p>
    <w:p w14:paraId="342033B8" w14:textId="0B1B8CF3" w:rsidR="00010379" w:rsidRPr="00E5630B" w:rsidRDefault="0055342A" w:rsidP="00010379">
      <w:pPr>
        <w:pStyle w:val="ListParagraph"/>
        <w:numPr>
          <w:ilvl w:val="0"/>
          <w:numId w:val="1"/>
        </w:numPr>
        <w:spacing w:after="0" w:line="240" w:lineRule="auto"/>
        <w:rPr>
          <w:rFonts w:eastAsia="Times New Roman" w:cstheme="minorHAnsi"/>
          <w:b/>
        </w:rPr>
      </w:pPr>
      <w:proofErr w:type="spellStart"/>
      <w:r>
        <w:rPr>
          <w:rFonts w:eastAsia="Times New Roman" w:cstheme="minorHAnsi"/>
          <w:b/>
        </w:rPr>
        <w:t>Matls</w:t>
      </w:r>
      <w:proofErr w:type="spellEnd"/>
      <w:r w:rsidR="003F19BF">
        <w:rPr>
          <w:rFonts w:eastAsia="Times New Roman" w:cstheme="minorHAnsi"/>
          <w:b/>
        </w:rPr>
        <w:t>:</w:t>
      </w:r>
      <w:r w:rsidR="00010379" w:rsidRPr="00E5630B">
        <w:rPr>
          <w:rFonts w:eastAsia="Times New Roman" w:cstheme="minorHAnsi"/>
          <w:b/>
        </w:rPr>
        <w:t xml:space="preserve"> </w:t>
      </w:r>
      <w:r w:rsidR="00010379" w:rsidRPr="00E5630B">
        <w:rPr>
          <w:rFonts w:eastAsia="Times New Roman" w:cstheme="minorHAnsi"/>
        </w:rPr>
        <w:t>Worksheet for materials and supplies costs</w:t>
      </w:r>
    </w:p>
    <w:p w14:paraId="526CF8A1" w14:textId="56E03F59" w:rsidR="00010379" w:rsidRPr="00E5630B" w:rsidRDefault="00010379" w:rsidP="00010379">
      <w:pPr>
        <w:pStyle w:val="ListParagraph"/>
        <w:numPr>
          <w:ilvl w:val="0"/>
          <w:numId w:val="1"/>
        </w:numPr>
        <w:spacing w:after="0" w:line="240" w:lineRule="auto"/>
        <w:rPr>
          <w:rFonts w:eastAsia="Times New Roman" w:cstheme="minorHAnsi"/>
          <w:b/>
        </w:rPr>
      </w:pPr>
      <w:r w:rsidRPr="00E5630B">
        <w:rPr>
          <w:rFonts w:eastAsia="Times New Roman" w:cstheme="minorHAnsi"/>
          <w:b/>
        </w:rPr>
        <w:t xml:space="preserve">Equip: </w:t>
      </w:r>
      <w:r w:rsidR="00135A2A">
        <w:rPr>
          <w:rFonts w:eastAsia="Times New Roman" w:cstheme="minorHAnsi"/>
        </w:rPr>
        <w:t>Worksheet for</w:t>
      </w:r>
      <w:r w:rsidRPr="00E5630B">
        <w:rPr>
          <w:rFonts w:eastAsia="Times New Roman" w:cstheme="minorHAnsi"/>
        </w:rPr>
        <w:t xml:space="preserve"> equipment maintenance costs</w:t>
      </w:r>
    </w:p>
    <w:p w14:paraId="398B09B6" w14:textId="77777777" w:rsidR="00010379" w:rsidRPr="00E5630B" w:rsidRDefault="00010379" w:rsidP="00010379">
      <w:pPr>
        <w:pStyle w:val="ListParagraph"/>
        <w:numPr>
          <w:ilvl w:val="0"/>
          <w:numId w:val="1"/>
        </w:numPr>
        <w:spacing w:after="0" w:line="240" w:lineRule="auto"/>
        <w:rPr>
          <w:rFonts w:eastAsia="Times New Roman" w:cstheme="minorHAnsi"/>
          <w:b/>
        </w:rPr>
      </w:pPr>
      <w:r w:rsidRPr="00E5630B">
        <w:rPr>
          <w:rFonts w:eastAsia="Times New Roman" w:cstheme="minorHAnsi"/>
          <w:b/>
        </w:rPr>
        <w:t xml:space="preserve">Other: </w:t>
      </w:r>
      <w:r w:rsidRPr="00E5630B">
        <w:rPr>
          <w:rFonts w:eastAsia="Times New Roman" w:cstheme="minorHAnsi"/>
        </w:rPr>
        <w:t>Worksheet for other direct costs</w:t>
      </w:r>
    </w:p>
    <w:p w14:paraId="26006110" w14:textId="11CF9CAA" w:rsidR="00010379" w:rsidRPr="00E5630B" w:rsidRDefault="00010379" w:rsidP="00010379">
      <w:pPr>
        <w:pStyle w:val="ListParagraph"/>
        <w:numPr>
          <w:ilvl w:val="0"/>
          <w:numId w:val="1"/>
        </w:numPr>
        <w:spacing w:after="0" w:line="240" w:lineRule="auto"/>
        <w:rPr>
          <w:rFonts w:eastAsia="Times New Roman" w:cstheme="minorHAnsi"/>
          <w:b/>
        </w:rPr>
      </w:pPr>
      <w:r w:rsidRPr="00E5630B">
        <w:rPr>
          <w:rFonts w:eastAsia="Times New Roman" w:cstheme="minorHAnsi"/>
          <w:b/>
        </w:rPr>
        <w:t xml:space="preserve">Subsidy: </w:t>
      </w:r>
      <w:r w:rsidRPr="00E5630B">
        <w:rPr>
          <w:rFonts w:eastAsia="Times New Roman" w:cstheme="minorHAnsi"/>
        </w:rPr>
        <w:t xml:space="preserve">Worksheet for sources of internal subsidies of </w:t>
      </w:r>
      <w:r w:rsidR="00D0228A">
        <w:t>shared facility</w:t>
      </w:r>
      <w:r w:rsidR="00D0228A" w:rsidRPr="000207A5">
        <w:rPr>
          <w:rFonts w:eastAsia="Times New Roman" w:cstheme="minorHAnsi"/>
        </w:rPr>
        <w:t xml:space="preserve"> </w:t>
      </w:r>
      <w:r w:rsidRPr="00E5630B">
        <w:rPr>
          <w:rFonts w:eastAsia="Times New Roman" w:cstheme="minorHAnsi"/>
        </w:rPr>
        <w:t>operation</w:t>
      </w:r>
    </w:p>
    <w:p w14:paraId="77986366" w14:textId="77777777" w:rsidR="00010379" w:rsidRDefault="00010379" w:rsidP="00010379">
      <w:pPr>
        <w:pStyle w:val="Heading2"/>
        <w:rPr>
          <w:rFonts w:eastAsia="Times New Roman"/>
        </w:rPr>
      </w:pPr>
      <w:r>
        <w:rPr>
          <w:rFonts w:eastAsia="Times New Roman"/>
        </w:rPr>
        <w:t>Menu</w:t>
      </w:r>
    </w:p>
    <w:p w14:paraId="649E49CB" w14:textId="22133892" w:rsidR="00B71C6E" w:rsidRDefault="00010379" w:rsidP="00010379">
      <w:r>
        <w:t xml:space="preserve">On the menu tab, enter the </w:t>
      </w:r>
      <w:r>
        <w:rPr>
          <w:b/>
        </w:rPr>
        <w:t>Name</w:t>
      </w:r>
      <w:r>
        <w:t xml:space="preserve"> of the </w:t>
      </w:r>
      <w:r w:rsidR="00D0228A">
        <w:t>S</w:t>
      </w:r>
      <w:r w:rsidR="00D0228A">
        <w:t xml:space="preserve">hared </w:t>
      </w:r>
      <w:r w:rsidR="00D0228A">
        <w:t>F</w:t>
      </w:r>
      <w:r w:rsidR="00D0228A">
        <w:t>acility</w:t>
      </w:r>
      <w:r>
        <w:t xml:space="preserve">, and </w:t>
      </w:r>
      <w:r w:rsidRPr="00E5630B">
        <w:rPr>
          <w:b/>
        </w:rPr>
        <w:t>the billing account number</w:t>
      </w:r>
      <w:r>
        <w:t xml:space="preserve"> if known (otherwise “NA”)</w:t>
      </w:r>
      <w:r w:rsidR="00B71C6E">
        <w:t>.</w:t>
      </w:r>
    </w:p>
    <w:p w14:paraId="2C2A2FED" w14:textId="47CB041D" w:rsidR="00010379" w:rsidRDefault="00B71C6E" w:rsidP="00B71C6E">
      <w:pPr>
        <w:pStyle w:val="Heading2"/>
      </w:pPr>
      <w:r w:rsidRPr="00531E70">
        <w:rPr>
          <w:rFonts w:eastAsia="Times New Roman"/>
        </w:rPr>
        <w:t>Budget</w:t>
      </w:r>
    </w:p>
    <w:p w14:paraId="670105E7" w14:textId="02B1827D" w:rsidR="00B71C6E" w:rsidRDefault="00AF5023">
      <w:r>
        <w:t>The</w:t>
      </w:r>
      <w:r w:rsidR="00B71C6E">
        <w:t xml:space="preserve"> Budget worksheet</w:t>
      </w:r>
      <w:r>
        <w:t xml:space="preserve"> </w:t>
      </w:r>
      <w:r w:rsidR="003C057E">
        <w:t>is a summary of</w:t>
      </w:r>
      <w:r w:rsidR="00955144">
        <w:t xml:space="preserve"> the </w:t>
      </w:r>
      <w:r w:rsidR="00D0228A">
        <w:t>S</w:t>
      </w:r>
      <w:r w:rsidR="00D0228A">
        <w:t xml:space="preserve">hared </w:t>
      </w:r>
      <w:r w:rsidR="00D0228A">
        <w:t>F</w:t>
      </w:r>
      <w:r w:rsidR="00D0228A">
        <w:t>acility</w:t>
      </w:r>
      <w:r w:rsidR="00C63650">
        <w:t>’s</w:t>
      </w:r>
      <w:r w:rsidR="00955144">
        <w:t xml:space="preserve"> </w:t>
      </w:r>
      <w:r>
        <w:t>Total Budgets, Projected Revenue</w:t>
      </w:r>
      <w:r w:rsidR="009B1C2E">
        <w:t xml:space="preserve"> o</w:t>
      </w:r>
      <w:r w:rsidR="00413EF4">
        <w:t>f the</w:t>
      </w:r>
      <w:r w:rsidR="009B1C2E">
        <w:t xml:space="preserve"> Proposed Rate, </w:t>
      </w:r>
      <w:r w:rsidR="008A00F7">
        <w:t>Subsidy</w:t>
      </w:r>
      <w:r>
        <w:t xml:space="preserve">, and Surplus/Deficit </w:t>
      </w:r>
      <w:r w:rsidR="00955144">
        <w:t>over</w:t>
      </w:r>
      <w:r>
        <w:t xml:space="preserve"> </w:t>
      </w:r>
      <w:r w:rsidR="008A00F7">
        <w:t>3</w:t>
      </w:r>
      <w:r>
        <w:t xml:space="preserve"> years</w:t>
      </w:r>
      <w:r w:rsidR="00955144">
        <w:t xml:space="preserve">. </w:t>
      </w:r>
      <w:r w:rsidR="001956D3">
        <w:t xml:space="preserve">All the data </w:t>
      </w:r>
      <w:r w:rsidR="00F7241B">
        <w:t xml:space="preserve">on this sheet </w:t>
      </w:r>
      <w:r w:rsidR="001956D3">
        <w:t>flow</w:t>
      </w:r>
      <w:r w:rsidR="00F7241B">
        <w:t>s</w:t>
      </w:r>
      <w:r w:rsidR="001956D3">
        <w:t xml:space="preserve"> directly </w:t>
      </w:r>
      <w:r w:rsidR="006D75F0">
        <w:t>from the</w:t>
      </w:r>
      <w:r w:rsidR="001956D3">
        <w:t xml:space="preserve"> other work</w:t>
      </w:r>
      <w:r w:rsidR="00955144">
        <w:t>sheet</w:t>
      </w:r>
      <w:r w:rsidR="001956D3">
        <w:t>s liste</w:t>
      </w:r>
      <w:r w:rsidR="00F7241B">
        <w:t xml:space="preserve">d </w:t>
      </w:r>
      <w:r w:rsidR="001956D3">
        <w:t>below</w:t>
      </w:r>
      <w:r w:rsidR="006D75F0">
        <w:t xml:space="preserve"> after they are filled out</w:t>
      </w:r>
      <w:r w:rsidR="001956D3">
        <w:t>.</w:t>
      </w:r>
    </w:p>
    <w:p w14:paraId="157371D3" w14:textId="256D54C5" w:rsidR="00C23827" w:rsidRPr="00322DF9" w:rsidRDefault="00C23827" w:rsidP="00531E70">
      <w:r>
        <w:t xml:space="preserve">The rate schedule for </w:t>
      </w:r>
      <w:r w:rsidR="006A0922">
        <w:t>each service</w:t>
      </w:r>
      <w:r>
        <w:t xml:space="preserve"> should be chosen to come as close as possible to breakeven operation of the entire </w:t>
      </w:r>
      <w:r w:rsidR="00D0228A">
        <w:t>S</w:t>
      </w:r>
      <w:r w:rsidR="00D0228A">
        <w:t xml:space="preserve">hared </w:t>
      </w:r>
      <w:r w:rsidR="00D0228A">
        <w:t>F</w:t>
      </w:r>
      <w:r w:rsidR="00D0228A">
        <w:t>acility</w:t>
      </w:r>
      <w:r>
        <w:t xml:space="preserve">, as reflected in the calculated </w:t>
      </w:r>
      <w:r w:rsidRPr="00531E70">
        <w:rPr>
          <w:b/>
        </w:rPr>
        <w:t xml:space="preserve">Surplus (Deficit) </w:t>
      </w:r>
      <w:r>
        <w:t xml:space="preserve">row. As a non-profit institution, Northeastern is not allowed to make money through operation of its </w:t>
      </w:r>
      <w:r w:rsidR="00D0228A">
        <w:t>S</w:t>
      </w:r>
      <w:r w:rsidR="00D0228A">
        <w:t xml:space="preserve">hared </w:t>
      </w:r>
      <w:r w:rsidR="00D0228A">
        <w:t>F</w:t>
      </w:r>
      <w:r w:rsidR="00D0228A">
        <w:t>acilit</w:t>
      </w:r>
      <w:r w:rsidR="00D0228A">
        <w:t>ies</w:t>
      </w:r>
      <w:r>
        <w:t>, which should not produce a surplus greater than 1</w:t>
      </w:r>
      <w:r w:rsidR="006F7489">
        <w:t>5</w:t>
      </w:r>
      <w:r>
        <w:t>% of total direct costs</w:t>
      </w:r>
      <w:r w:rsidR="00974615">
        <w:t xml:space="preserve"> in a given budget year</w:t>
      </w:r>
      <w:r>
        <w:t xml:space="preserve">. It is more likely that reasonable estimates of anticipated usage and market rates will lead to a projected deficit in the proposed year of </w:t>
      </w:r>
      <w:r w:rsidR="00D0228A">
        <w:t>shared facility</w:t>
      </w:r>
      <w:r>
        <w:t xml:space="preserve"> operation. </w:t>
      </w:r>
    </w:p>
    <w:p w14:paraId="372910EA" w14:textId="77777777" w:rsidR="00C23827" w:rsidRPr="00B71C6E" w:rsidRDefault="00C23827"/>
    <w:p w14:paraId="697D51EA" w14:textId="733969A3" w:rsidR="00010379" w:rsidRDefault="00010379" w:rsidP="00010379">
      <w:pPr>
        <w:pStyle w:val="Heading2"/>
        <w:rPr>
          <w:rFonts w:eastAsia="Times New Roman"/>
        </w:rPr>
      </w:pPr>
      <w:r>
        <w:rPr>
          <w:rFonts w:eastAsia="Times New Roman"/>
        </w:rPr>
        <w:t>Rate</w:t>
      </w:r>
      <w:r w:rsidR="005822D9">
        <w:rPr>
          <w:rFonts w:eastAsia="Times New Roman"/>
        </w:rPr>
        <w:t xml:space="preserve"> (Year 1- Year </w:t>
      </w:r>
      <w:r w:rsidR="00A52A17">
        <w:rPr>
          <w:rFonts w:eastAsia="Times New Roman"/>
        </w:rPr>
        <w:t>3</w:t>
      </w:r>
      <w:r w:rsidR="005822D9">
        <w:rPr>
          <w:rFonts w:eastAsia="Times New Roman"/>
        </w:rPr>
        <w:t>)</w:t>
      </w:r>
    </w:p>
    <w:p w14:paraId="07BC6E67" w14:textId="219F179A" w:rsidR="00010379" w:rsidRDefault="00010379" w:rsidP="00010379">
      <w:r>
        <w:t xml:space="preserve">This the main sheet that will be used to identify the services offered by the proposed </w:t>
      </w:r>
      <w:r w:rsidR="00D0228A">
        <w:t>S</w:t>
      </w:r>
      <w:r w:rsidR="00D0228A">
        <w:t xml:space="preserve">hared </w:t>
      </w:r>
      <w:r w:rsidR="00D0228A">
        <w:t>F</w:t>
      </w:r>
      <w:r w:rsidR="00D0228A">
        <w:t>acility</w:t>
      </w:r>
      <w:r w:rsidR="00D0228A" w:rsidRPr="000207A5">
        <w:rPr>
          <w:rFonts w:eastAsia="Times New Roman" w:cstheme="minorHAnsi"/>
        </w:rPr>
        <w:t xml:space="preserve"> </w:t>
      </w:r>
      <w:r>
        <w:t>and calculate the total cost and subsidized cost of each service, which will be used to estimate billing rates.</w:t>
      </w:r>
    </w:p>
    <w:p w14:paraId="62E42A93" w14:textId="17870116" w:rsidR="00010379" w:rsidRDefault="00B25C0A" w:rsidP="00010379">
      <w:pPr>
        <w:pStyle w:val="ListParagraph"/>
        <w:numPr>
          <w:ilvl w:val="0"/>
          <w:numId w:val="2"/>
        </w:numPr>
      </w:pPr>
      <w:r>
        <w:t xml:space="preserve">Starting with the </w:t>
      </w:r>
      <w:r>
        <w:rPr>
          <w:b/>
          <w:bCs/>
        </w:rPr>
        <w:t>Rate-Year 1</w:t>
      </w:r>
      <w:r w:rsidR="009A16BD">
        <w:rPr>
          <w:b/>
          <w:bCs/>
        </w:rPr>
        <w:t xml:space="preserve"> </w:t>
      </w:r>
      <w:r w:rsidR="009A16BD">
        <w:t>tab, i</w:t>
      </w:r>
      <w:r w:rsidR="00010379">
        <w:t xml:space="preserve">n the </w:t>
      </w:r>
      <w:r w:rsidR="00010379">
        <w:rPr>
          <w:b/>
        </w:rPr>
        <w:t>Description of Service</w:t>
      </w:r>
      <w:r w:rsidR="00010379">
        <w:t xml:space="preserve"> row, enter a brief description of each instrument or service offered by the </w:t>
      </w:r>
      <w:r w:rsidR="00D0228A">
        <w:t>S</w:t>
      </w:r>
      <w:r w:rsidR="00D0228A">
        <w:t xml:space="preserve">hared </w:t>
      </w:r>
      <w:r w:rsidR="00D0228A">
        <w:t>F</w:t>
      </w:r>
      <w:r w:rsidR="00D0228A">
        <w:t>acility</w:t>
      </w:r>
      <w:r w:rsidR="00010379">
        <w:t xml:space="preserve"> under the columns </w:t>
      </w:r>
      <w:r w:rsidR="00010379" w:rsidRPr="000E69FF">
        <w:rPr>
          <w:b/>
        </w:rPr>
        <w:t>Rate 1</w:t>
      </w:r>
      <w:r w:rsidR="00010379">
        <w:t xml:space="preserve">, </w:t>
      </w:r>
      <w:r w:rsidR="00010379" w:rsidRPr="000E69FF">
        <w:rPr>
          <w:b/>
        </w:rPr>
        <w:t>Rate 2</w:t>
      </w:r>
      <w:r w:rsidR="00010379">
        <w:t xml:space="preserve">, etc. Space is provided for up to </w:t>
      </w:r>
      <w:r w:rsidR="006B738C">
        <w:t xml:space="preserve">10 </w:t>
      </w:r>
      <w:r w:rsidR="00010379">
        <w:t xml:space="preserve">different rates. </w:t>
      </w:r>
    </w:p>
    <w:p w14:paraId="66423C57" w14:textId="35B88C41" w:rsidR="00010379" w:rsidRDefault="00010379" w:rsidP="00010379">
      <w:pPr>
        <w:pStyle w:val="ListParagraph"/>
        <w:numPr>
          <w:ilvl w:val="0"/>
          <w:numId w:val="2"/>
        </w:numPr>
      </w:pPr>
      <w:r>
        <w:t xml:space="preserve">For readability, hide any unused </w:t>
      </w:r>
      <w:r w:rsidRPr="000E69FF">
        <w:rPr>
          <w:b/>
        </w:rPr>
        <w:t>Rate</w:t>
      </w:r>
      <w:r>
        <w:t xml:space="preserve"> columns, making sure to leave the rightmost </w:t>
      </w:r>
      <w:r w:rsidRPr="000E69FF">
        <w:rPr>
          <w:b/>
        </w:rPr>
        <w:t>Total</w:t>
      </w:r>
      <w:r>
        <w:t xml:space="preserve"> column visible.</w:t>
      </w:r>
    </w:p>
    <w:p w14:paraId="2F7FE43F" w14:textId="1507706B" w:rsidR="006B738C" w:rsidRDefault="006B738C" w:rsidP="00010379">
      <w:pPr>
        <w:pStyle w:val="ListParagraph"/>
        <w:numPr>
          <w:ilvl w:val="0"/>
          <w:numId w:val="2"/>
        </w:numPr>
      </w:pPr>
      <w:r>
        <w:t>The data in</w:t>
      </w:r>
      <w:r w:rsidR="00F82B0A">
        <w:t xml:space="preserve"> the</w:t>
      </w:r>
      <w:r>
        <w:t xml:space="preserve"> Direct Costs </w:t>
      </w:r>
      <w:r w:rsidR="00F82B0A">
        <w:t>s</w:t>
      </w:r>
      <w:r>
        <w:t xml:space="preserve">ection will be populated after filling out </w:t>
      </w:r>
      <w:r w:rsidR="00A76EB8">
        <w:t xml:space="preserve">the </w:t>
      </w:r>
      <w:r>
        <w:t xml:space="preserve">other tabs. </w:t>
      </w:r>
    </w:p>
    <w:p w14:paraId="432D8FED" w14:textId="77777777" w:rsidR="00010379" w:rsidRDefault="00010379" w:rsidP="00010379">
      <w:pPr>
        <w:pStyle w:val="ListParagraph"/>
        <w:numPr>
          <w:ilvl w:val="0"/>
          <w:numId w:val="2"/>
        </w:numPr>
      </w:pPr>
      <w:r>
        <w:lastRenderedPageBreak/>
        <w:t xml:space="preserve">If individual </w:t>
      </w:r>
      <w:r>
        <w:rPr>
          <w:b/>
        </w:rPr>
        <w:t>Rates</w:t>
      </w:r>
      <w:r>
        <w:t xml:space="preserve"> have any surplus or deficit from previous years of operation, enter the dollar amount for each </w:t>
      </w:r>
      <w:r>
        <w:rPr>
          <w:b/>
        </w:rPr>
        <w:t>Rate</w:t>
      </w:r>
      <w:r>
        <w:t xml:space="preserve"> in the </w:t>
      </w:r>
      <w:r>
        <w:rPr>
          <w:b/>
        </w:rPr>
        <w:t>Deduct Surplus or Add Deficit</w:t>
      </w:r>
      <w:r>
        <w:t xml:space="preserve"> row, otherwise leave as zero.</w:t>
      </w:r>
    </w:p>
    <w:p w14:paraId="45F74FBD" w14:textId="358DF3C8" w:rsidR="00010379" w:rsidRDefault="00010379" w:rsidP="00010379">
      <w:pPr>
        <w:pStyle w:val="ListParagraph"/>
        <w:numPr>
          <w:ilvl w:val="0"/>
          <w:numId w:val="2"/>
        </w:numPr>
      </w:pPr>
      <w:r>
        <w:t xml:space="preserve">In the </w:t>
      </w:r>
      <w:r w:rsidR="00D14A29">
        <w:rPr>
          <w:b/>
        </w:rPr>
        <w:t>Actual Annual</w:t>
      </w:r>
      <w:r w:rsidR="005C45EC">
        <w:rPr>
          <w:b/>
        </w:rPr>
        <w:t xml:space="preserve"> Volume</w:t>
      </w:r>
      <w:r w:rsidR="003133E2">
        <w:rPr>
          <w:b/>
        </w:rPr>
        <w:t xml:space="preserve"> </w:t>
      </w:r>
      <w:r>
        <w:t xml:space="preserve">row, for each identified </w:t>
      </w:r>
      <w:r w:rsidRPr="00135CD8">
        <w:rPr>
          <w:b/>
        </w:rPr>
        <w:t>Rate</w:t>
      </w:r>
      <w:r>
        <w:t xml:space="preserve">, </w:t>
      </w:r>
      <w:r w:rsidR="00A76EB8">
        <w:t>indicate the units by which the service is measured (</w:t>
      </w:r>
      <w:proofErr w:type="gramStart"/>
      <w:r w:rsidR="00A76EB8">
        <w:t>e.g.</w:t>
      </w:r>
      <w:proofErr w:type="gramEnd"/>
      <w:r w:rsidR="00A76EB8">
        <w:t xml:space="preserve"> hours, samples) in the </w:t>
      </w:r>
      <w:r w:rsidR="00A76EB8">
        <w:rPr>
          <w:b/>
        </w:rPr>
        <w:t>Units of measure</w:t>
      </w:r>
      <w:r w:rsidR="00A76EB8">
        <w:t xml:space="preserve"> row.</w:t>
      </w:r>
      <w:r>
        <w:t xml:space="preserve"> This </w:t>
      </w:r>
      <w:r w:rsidR="000309C2">
        <w:t>number should be</w:t>
      </w:r>
      <w:r>
        <w:t xml:space="preserve"> the </w:t>
      </w:r>
      <w:r w:rsidR="000309C2">
        <w:t>projected</w:t>
      </w:r>
      <w:r>
        <w:t xml:space="preserve"> total number of </w:t>
      </w:r>
      <w:r>
        <w:rPr>
          <w:b/>
        </w:rPr>
        <w:t>Units</w:t>
      </w:r>
      <w:r>
        <w:t xml:space="preserve"> </w:t>
      </w:r>
      <w:r w:rsidR="00D75D9E">
        <w:t>based on the historical knowledge of volume.</w:t>
      </w:r>
    </w:p>
    <w:p w14:paraId="21CE10F5" w14:textId="6FCC608A" w:rsidR="00D14A29" w:rsidRPr="00531E70" w:rsidRDefault="00D14A29" w:rsidP="00010379">
      <w:pPr>
        <w:pStyle w:val="ListParagraph"/>
        <w:numPr>
          <w:ilvl w:val="0"/>
          <w:numId w:val="2"/>
        </w:numPr>
      </w:pPr>
      <w:r>
        <w:t xml:space="preserve">In the </w:t>
      </w:r>
      <w:r w:rsidRPr="00D14A29">
        <w:rPr>
          <w:b/>
          <w:bCs/>
        </w:rPr>
        <w:t>Maximum Annual Volume</w:t>
      </w:r>
      <w:r>
        <w:t xml:space="preserve"> row, please fill out the maximum annual volume for each service. This will be the maximum estimated volume for each year.</w:t>
      </w:r>
    </w:p>
    <w:p w14:paraId="24EED532" w14:textId="0415E5C0" w:rsidR="00A76EB8" w:rsidRPr="000E69FF" w:rsidRDefault="00A76EB8" w:rsidP="00010379">
      <w:pPr>
        <w:pStyle w:val="ListParagraph"/>
        <w:numPr>
          <w:ilvl w:val="0"/>
          <w:numId w:val="2"/>
        </w:numPr>
      </w:pPr>
      <w:r>
        <w:rPr>
          <w:bCs/>
        </w:rPr>
        <w:t>The Break</w:t>
      </w:r>
      <w:r w:rsidR="00D14A29">
        <w:rPr>
          <w:bCs/>
        </w:rPr>
        <w:t>-E</w:t>
      </w:r>
      <w:r>
        <w:rPr>
          <w:bCs/>
        </w:rPr>
        <w:t xml:space="preserve">ven Rates section is calculated </w:t>
      </w:r>
      <w:r w:rsidR="007D23FC">
        <w:rPr>
          <w:bCs/>
        </w:rPr>
        <w:t>from Direct Costs information</w:t>
      </w:r>
      <w:r>
        <w:rPr>
          <w:bCs/>
        </w:rPr>
        <w:t xml:space="preserve"> after </w:t>
      </w:r>
      <w:r w:rsidR="00B56E39">
        <w:rPr>
          <w:bCs/>
        </w:rPr>
        <w:t>entering</w:t>
      </w:r>
      <w:r>
        <w:rPr>
          <w:bCs/>
        </w:rPr>
        <w:t xml:space="preserve"> the numbers of </w:t>
      </w:r>
      <w:r w:rsidRPr="00531E70">
        <w:rPr>
          <w:b/>
        </w:rPr>
        <w:t>Units</w:t>
      </w:r>
      <w:r>
        <w:rPr>
          <w:bCs/>
        </w:rPr>
        <w:t>.</w:t>
      </w:r>
    </w:p>
    <w:p w14:paraId="3BBADAEE" w14:textId="7CD0F8B4" w:rsidR="00010379" w:rsidRDefault="00D14A29" w:rsidP="00010379">
      <w:pPr>
        <w:pStyle w:val="ListParagraph"/>
        <w:numPr>
          <w:ilvl w:val="0"/>
          <w:numId w:val="2"/>
        </w:numPr>
      </w:pPr>
      <w:r>
        <w:t xml:space="preserve">The </w:t>
      </w:r>
      <w:r w:rsidRPr="00D14A29">
        <w:rPr>
          <w:b/>
          <w:bCs/>
        </w:rPr>
        <w:t>External Rate</w:t>
      </w:r>
      <w:r>
        <w:t xml:space="preserve"> is automatically including the 57% F&amp;A rate in the calculation</w:t>
      </w:r>
      <w:r w:rsidR="00010379">
        <w:t>.</w:t>
      </w:r>
    </w:p>
    <w:p w14:paraId="7A01304D" w14:textId="577F12CD" w:rsidR="005920FB" w:rsidRDefault="00B25C0A" w:rsidP="00010379">
      <w:pPr>
        <w:pStyle w:val="ListParagraph"/>
        <w:numPr>
          <w:ilvl w:val="0"/>
          <w:numId w:val="2"/>
        </w:numPr>
      </w:pPr>
      <w:r>
        <w:t>Data in the</w:t>
      </w:r>
      <w:r w:rsidR="005920FB">
        <w:t xml:space="preserve"> blue shaded areas </w:t>
      </w:r>
      <w:r w:rsidR="00166F1C">
        <w:t>from</w:t>
      </w:r>
      <w:r w:rsidR="006D6BC0">
        <w:t xml:space="preserve"> in the</w:t>
      </w:r>
      <w:r w:rsidR="005920FB">
        <w:t xml:space="preserve"> </w:t>
      </w:r>
      <w:r w:rsidR="005920FB" w:rsidRPr="00531E70">
        <w:rPr>
          <w:b/>
          <w:bCs/>
        </w:rPr>
        <w:t xml:space="preserve">Rate – Year </w:t>
      </w:r>
      <w:r w:rsidR="006D6BC0">
        <w:rPr>
          <w:b/>
          <w:bCs/>
        </w:rPr>
        <w:t>2</w:t>
      </w:r>
      <w:r w:rsidR="005920FB">
        <w:t xml:space="preserve"> to </w:t>
      </w:r>
      <w:r w:rsidR="005920FB" w:rsidRPr="00531E70">
        <w:rPr>
          <w:b/>
          <w:bCs/>
        </w:rPr>
        <w:t xml:space="preserve">Rate – Year </w:t>
      </w:r>
      <w:r w:rsidR="00A52A17">
        <w:rPr>
          <w:b/>
          <w:bCs/>
        </w:rPr>
        <w:t>3</w:t>
      </w:r>
      <w:r w:rsidR="005920FB">
        <w:t xml:space="preserve"> tab</w:t>
      </w:r>
      <w:r w:rsidR="006D6BC0">
        <w:t xml:space="preserve">s </w:t>
      </w:r>
      <w:r w:rsidR="00EB56DE">
        <w:t xml:space="preserve">are automatically populated after filling in Year </w:t>
      </w:r>
      <w:proofErr w:type="gramStart"/>
      <w:r w:rsidR="00EB56DE">
        <w:t>1, but</w:t>
      </w:r>
      <w:proofErr w:type="gramEnd"/>
      <w:r w:rsidR="00EB56DE">
        <w:t xml:space="preserve"> may be </w:t>
      </w:r>
      <w:r w:rsidR="00D5034B">
        <w:t xml:space="preserve">edited later to reflect future plans of the </w:t>
      </w:r>
      <w:r w:rsidR="00D0228A">
        <w:t>S</w:t>
      </w:r>
      <w:r w:rsidR="00D0228A">
        <w:t xml:space="preserve">hared </w:t>
      </w:r>
      <w:r w:rsidR="00D0228A">
        <w:t>F</w:t>
      </w:r>
      <w:r w:rsidR="00D0228A">
        <w:t>acility</w:t>
      </w:r>
      <w:r w:rsidR="00D5034B">
        <w:t>.</w:t>
      </w:r>
    </w:p>
    <w:p w14:paraId="0A6DAB10" w14:textId="41EA08E5" w:rsidR="00010379" w:rsidRDefault="00010379" w:rsidP="00010379">
      <w:pPr>
        <w:ind w:left="360"/>
      </w:pPr>
      <w:r>
        <w:t>After these initial steps, proceed to fill in information in the individual detail sheets (</w:t>
      </w:r>
      <w:proofErr w:type="spellStart"/>
      <w:r w:rsidR="005822D9">
        <w:rPr>
          <w:b/>
        </w:rPr>
        <w:t>Sal&amp;Fr</w:t>
      </w:r>
      <w:proofErr w:type="spellEnd"/>
      <w:r>
        <w:t xml:space="preserve">, </w:t>
      </w:r>
      <w:proofErr w:type="spellStart"/>
      <w:r w:rsidR="0055342A">
        <w:rPr>
          <w:b/>
        </w:rPr>
        <w:t>Matls</w:t>
      </w:r>
      <w:proofErr w:type="spellEnd"/>
      <w:r>
        <w:t xml:space="preserve">, </w:t>
      </w:r>
      <w:r>
        <w:rPr>
          <w:b/>
        </w:rPr>
        <w:t>Equip, Other</w:t>
      </w:r>
      <w:r>
        <w:t xml:space="preserve">, </w:t>
      </w:r>
      <w:r>
        <w:rPr>
          <w:b/>
        </w:rPr>
        <w:t>Subsidy</w:t>
      </w:r>
      <w:r>
        <w:t xml:space="preserve">). Once that information is available, the estimates for cost and billing rates will be populated in this </w:t>
      </w:r>
      <w:r>
        <w:rPr>
          <w:b/>
        </w:rPr>
        <w:t xml:space="preserve">Rate </w:t>
      </w:r>
      <w:r>
        <w:t>sheet and the process can be completed.</w:t>
      </w:r>
    </w:p>
    <w:p w14:paraId="4AEA2D71" w14:textId="4A640BFD" w:rsidR="00AC5807" w:rsidRPr="002B7F02" w:rsidRDefault="00AC5807" w:rsidP="00531E70">
      <w:pPr>
        <w:ind w:left="360"/>
      </w:pPr>
      <w:r>
        <w:t>For the Projected Usage, Proposed Rate, and Projected Revenue sections, please refer to the “Completing the Rate Determination Sheet” section at the end of this Instruction for more detail.</w:t>
      </w:r>
    </w:p>
    <w:p w14:paraId="27D6E619" w14:textId="36653CFA" w:rsidR="005822D9" w:rsidRDefault="005822D9" w:rsidP="00010379">
      <w:pPr>
        <w:pStyle w:val="Heading2"/>
        <w:rPr>
          <w:rFonts w:eastAsia="Times New Roman"/>
        </w:rPr>
      </w:pPr>
    </w:p>
    <w:p w14:paraId="64E11D2F" w14:textId="03A0D97E" w:rsidR="001B6B33" w:rsidRPr="001B6B33" w:rsidRDefault="001B6B33" w:rsidP="00531E70">
      <w:pPr>
        <w:rPr>
          <w:rFonts w:eastAsia="Times New Roman"/>
        </w:rPr>
      </w:pPr>
      <w:r w:rsidRPr="00531E70">
        <w:rPr>
          <w:rFonts w:asciiTheme="majorHAnsi" w:eastAsia="Times New Roman" w:hAnsiTheme="majorHAnsi" w:cstheme="majorBidi"/>
          <w:color w:val="2E74B5" w:themeColor="accent1" w:themeShade="BF"/>
          <w:sz w:val="26"/>
          <w:szCs w:val="26"/>
        </w:rPr>
        <w:t>Salary &amp; Fringe</w:t>
      </w:r>
    </w:p>
    <w:p w14:paraId="2C484D0B" w14:textId="55A3DB7D" w:rsidR="00010379" w:rsidRPr="00531E70" w:rsidRDefault="00A354E0">
      <w:pPr>
        <w:pStyle w:val="Heading2"/>
        <w:rPr>
          <w:rFonts w:eastAsia="Times New Roman"/>
          <w:i/>
          <w:iCs/>
          <w:sz w:val="24"/>
          <w:szCs w:val="24"/>
        </w:rPr>
      </w:pPr>
      <w:r w:rsidRPr="00531E70">
        <w:rPr>
          <w:rFonts w:eastAsia="Times New Roman"/>
          <w:i/>
          <w:iCs/>
          <w:sz w:val="24"/>
          <w:szCs w:val="24"/>
        </w:rPr>
        <w:t>Salary</w:t>
      </w:r>
    </w:p>
    <w:p w14:paraId="6CC07CBB" w14:textId="55F7F492" w:rsidR="00010379" w:rsidRDefault="00010379" w:rsidP="00010379">
      <w:r>
        <w:t>Each line of this worksheet</w:t>
      </w:r>
      <w:r w:rsidR="003F19BF">
        <w:t xml:space="preserve"> </w:t>
      </w:r>
      <w:r>
        <w:t>should correspond to an employee who spends effort</w:t>
      </w:r>
      <w:r w:rsidR="001B6B33">
        <w:t xml:space="preserve"> </w:t>
      </w:r>
      <w:r>
        <w:t xml:space="preserve">operating the </w:t>
      </w:r>
      <w:r w:rsidR="00D0228A">
        <w:t>S</w:t>
      </w:r>
      <w:r w:rsidR="00D0228A">
        <w:t xml:space="preserve">hared </w:t>
      </w:r>
      <w:r w:rsidR="00D0228A">
        <w:t>F</w:t>
      </w:r>
      <w:r w:rsidR="00D0228A">
        <w:t>acility</w:t>
      </w:r>
      <w:r>
        <w:t xml:space="preserve">. Employees need not be dedicated full time to </w:t>
      </w:r>
      <w:r w:rsidR="00D0228A">
        <w:t>shared facility</w:t>
      </w:r>
      <w:r w:rsidR="00D0228A" w:rsidRPr="000207A5">
        <w:rPr>
          <w:rFonts w:eastAsia="Times New Roman" w:cstheme="minorHAnsi"/>
        </w:rPr>
        <w:t xml:space="preserve"> </w:t>
      </w:r>
      <w:r>
        <w:t xml:space="preserve">operation. Note that the </w:t>
      </w:r>
      <w:r w:rsidR="00D60C17" w:rsidRPr="00531E70">
        <w:rPr>
          <w:b/>
          <w:bCs/>
        </w:rPr>
        <w:t>Description of Service</w:t>
      </w:r>
      <w:r w:rsidR="00531E70">
        <w:rPr>
          <w:b/>
          <w:bCs/>
        </w:rPr>
        <w:t xml:space="preserve"> </w:t>
      </w:r>
      <w:r>
        <w:t>entered on the</w:t>
      </w:r>
      <w:r w:rsidRPr="00D7575C">
        <w:t xml:space="preserve"> </w:t>
      </w:r>
      <w:r w:rsidRPr="00D7575C">
        <w:rPr>
          <w:b/>
        </w:rPr>
        <w:t xml:space="preserve">Rate </w:t>
      </w:r>
      <w:r>
        <w:t xml:space="preserve">worksheet appear </w:t>
      </w:r>
      <w:r w:rsidRPr="00880206">
        <w:t>in</w:t>
      </w:r>
      <w:r>
        <w:t xml:space="preserve"> the </w:t>
      </w:r>
      <w:r w:rsidRPr="00880206">
        <w:t>Rate</w:t>
      </w:r>
      <w:r>
        <w:t xml:space="preserve"> columns. For each employee, specify:</w:t>
      </w:r>
    </w:p>
    <w:p w14:paraId="2F7DF4B1" w14:textId="77777777" w:rsidR="00010379" w:rsidRDefault="00010379" w:rsidP="00010379">
      <w:pPr>
        <w:pStyle w:val="ListParagraph"/>
        <w:numPr>
          <w:ilvl w:val="0"/>
          <w:numId w:val="4"/>
        </w:numPr>
      </w:pPr>
      <w:r>
        <w:t xml:space="preserve">Name under </w:t>
      </w:r>
      <w:r>
        <w:rPr>
          <w:b/>
        </w:rPr>
        <w:t>Name of Employee</w:t>
      </w:r>
      <w:r>
        <w:t>, if available, else TBD</w:t>
      </w:r>
    </w:p>
    <w:p w14:paraId="0E20ED5D" w14:textId="5E1EB794" w:rsidR="00010379" w:rsidRDefault="00010379" w:rsidP="00010379">
      <w:pPr>
        <w:pStyle w:val="ListParagraph"/>
        <w:numPr>
          <w:ilvl w:val="0"/>
          <w:numId w:val="4"/>
        </w:numPr>
      </w:pPr>
      <w:r>
        <w:t xml:space="preserve">Brief job title under </w:t>
      </w:r>
      <w:r w:rsidR="003F19BF">
        <w:rPr>
          <w:b/>
        </w:rPr>
        <w:t>Title</w:t>
      </w:r>
    </w:p>
    <w:p w14:paraId="5115E160" w14:textId="2521C06D" w:rsidR="00D60C17" w:rsidRDefault="00F932AA" w:rsidP="00010379">
      <w:pPr>
        <w:pStyle w:val="ListParagraph"/>
        <w:numPr>
          <w:ilvl w:val="0"/>
          <w:numId w:val="4"/>
        </w:numPr>
      </w:pPr>
      <w:r>
        <w:t xml:space="preserve">Put in </w:t>
      </w:r>
      <w:r w:rsidRPr="00531E70">
        <w:rPr>
          <w:b/>
          <w:bCs/>
        </w:rPr>
        <w:t>Account Code</w:t>
      </w:r>
      <w:r>
        <w:t xml:space="preserve"> that used for charging the salary</w:t>
      </w:r>
    </w:p>
    <w:p w14:paraId="250DA261" w14:textId="3B9BBF31" w:rsidR="00010379" w:rsidRDefault="00010379" w:rsidP="00010379">
      <w:pPr>
        <w:pStyle w:val="ListParagraph"/>
        <w:numPr>
          <w:ilvl w:val="0"/>
          <w:numId w:val="4"/>
        </w:numPr>
      </w:pPr>
      <w:r w:rsidRPr="00AE405E">
        <w:t xml:space="preserve">Total </w:t>
      </w:r>
      <w:r w:rsidR="00202530">
        <w:rPr>
          <w:b/>
          <w:bCs/>
        </w:rPr>
        <w:t>A</w:t>
      </w:r>
      <w:r w:rsidR="00F932AA" w:rsidRPr="00681C42">
        <w:rPr>
          <w:b/>
          <w:bCs/>
        </w:rPr>
        <w:t xml:space="preserve">nnual </w:t>
      </w:r>
      <w:r w:rsidR="00202530">
        <w:rPr>
          <w:b/>
          <w:bCs/>
        </w:rPr>
        <w:t>S</w:t>
      </w:r>
      <w:r w:rsidRPr="00681C42">
        <w:rPr>
          <w:b/>
          <w:bCs/>
        </w:rPr>
        <w:t>alary</w:t>
      </w:r>
      <w:r w:rsidRPr="00AE405E">
        <w:t xml:space="preserve"> </w:t>
      </w:r>
      <w:r>
        <w:t>from all sources, not including benefits</w:t>
      </w:r>
    </w:p>
    <w:p w14:paraId="171B32AA" w14:textId="2C3985F6" w:rsidR="00010379" w:rsidRDefault="00010379" w:rsidP="00010379">
      <w:pPr>
        <w:pStyle w:val="ListParagraph"/>
        <w:numPr>
          <w:ilvl w:val="0"/>
          <w:numId w:val="4"/>
        </w:numPr>
      </w:pPr>
      <w:r w:rsidRPr="00094DFE">
        <w:t>The</w:t>
      </w:r>
      <w:r w:rsidRPr="00AE405E">
        <w:rPr>
          <w:b/>
          <w:bCs/>
        </w:rPr>
        <w:t xml:space="preserve"> percentage of </w:t>
      </w:r>
      <w:r w:rsidR="00202530">
        <w:rPr>
          <w:b/>
          <w:bCs/>
        </w:rPr>
        <w:t xml:space="preserve">Time allocated to </w:t>
      </w:r>
      <w:r w:rsidR="00667925">
        <w:rPr>
          <w:b/>
          <w:bCs/>
        </w:rPr>
        <w:t>SRF</w:t>
      </w:r>
      <w:r w:rsidRPr="00094DFE">
        <w:t xml:space="preserve"> is </w:t>
      </w:r>
      <w:r w:rsidR="00202530">
        <w:t xml:space="preserve">the effort that </w:t>
      </w:r>
      <w:r w:rsidRPr="00094DFE">
        <w:t>allocated to the</w:t>
      </w:r>
      <w:r w:rsidRPr="00AE405E">
        <w:rPr>
          <w:b/>
          <w:bCs/>
        </w:rPr>
        <w:t xml:space="preserve"> </w:t>
      </w:r>
      <w:r w:rsidR="00E958CD">
        <w:t>shared facility</w:t>
      </w:r>
      <w:r w:rsidR="00556467">
        <w:t>.</w:t>
      </w:r>
    </w:p>
    <w:p w14:paraId="09736BEB" w14:textId="668EB9FF" w:rsidR="00010379" w:rsidRDefault="00010379" w:rsidP="00010379">
      <w:pPr>
        <w:pStyle w:val="ListParagraph"/>
        <w:numPr>
          <w:ilvl w:val="0"/>
          <w:numId w:val="4"/>
        </w:numPr>
      </w:pPr>
      <w:r>
        <w:t xml:space="preserve">For each </w:t>
      </w:r>
      <w:r w:rsidRPr="00A820AC">
        <w:rPr>
          <w:b/>
        </w:rPr>
        <w:t>Rate</w:t>
      </w:r>
      <w:r>
        <w:t xml:space="preserve">, indicate the percentage of employee’s </w:t>
      </w:r>
      <w:r w:rsidR="00E958CD">
        <w:t>shared facility</w:t>
      </w:r>
      <w:r w:rsidR="00E958CD" w:rsidRPr="000207A5">
        <w:rPr>
          <w:rFonts w:eastAsia="Times New Roman" w:cstheme="minorHAnsi"/>
        </w:rPr>
        <w:t xml:space="preserve"> </w:t>
      </w:r>
      <w:r>
        <w:t>effort devoted to that service. A typical approach to determining this quantity is to estimate on average how much time the employee spends per unit of a given service, multiply by the total number of available units for that service (“</w:t>
      </w:r>
      <w:r w:rsidR="00B57634" w:rsidRPr="00531E70">
        <w:rPr>
          <w:b/>
          <w:bCs/>
        </w:rPr>
        <w:t>A</w:t>
      </w:r>
      <w:r w:rsidR="00202530">
        <w:rPr>
          <w:b/>
          <w:bCs/>
        </w:rPr>
        <w:t xml:space="preserve">ctual Annual </w:t>
      </w:r>
      <w:r w:rsidR="00B57634">
        <w:rPr>
          <w:b/>
          <w:bCs/>
        </w:rPr>
        <w:t>Volume</w:t>
      </w:r>
      <w:r>
        <w:t xml:space="preserve">” on the </w:t>
      </w:r>
      <w:r w:rsidRPr="00A820AC">
        <w:rPr>
          <w:b/>
        </w:rPr>
        <w:t>Rate</w:t>
      </w:r>
      <w:r>
        <w:t xml:space="preserve"> spreadsheet), and divide by the total number of employee hours allocated to the </w:t>
      </w:r>
      <w:r w:rsidR="00E958CD">
        <w:t>shared facility</w:t>
      </w:r>
      <w:r w:rsidR="00E958CD" w:rsidRPr="000207A5">
        <w:rPr>
          <w:rFonts w:eastAsia="Times New Roman" w:cstheme="minorHAnsi"/>
        </w:rPr>
        <w:t xml:space="preserve"> </w:t>
      </w:r>
      <w:r>
        <w:t xml:space="preserve">annually. A figure typically used for a full-time employee is 1920 hours per year (48 weeks times 40 hours), although this may vary. It is anticipated that each employee may not spend effort on all available services. The cost of each employee’s effort on each </w:t>
      </w:r>
      <w:r w:rsidRPr="00A820AC">
        <w:rPr>
          <w:b/>
        </w:rPr>
        <w:t>Rate</w:t>
      </w:r>
      <w:r>
        <w:t xml:space="preserve"> is calculated from the </w:t>
      </w:r>
      <w:r w:rsidRPr="00A820AC">
        <w:rPr>
          <w:b/>
        </w:rPr>
        <w:t>Rate</w:t>
      </w:r>
      <w:r>
        <w:t xml:space="preserve"> percentages and the </w:t>
      </w:r>
      <w:r w:rsidRPr="00A820AC">
        <w:rPr>
          <w:b/>
        </w:rPr>
        <w:t xml:space="preserve">Salary Allocated to </w:t>
      </w:r>
      <w:r w:rsidR="00667925">
        <w:rPr>
          <w:b/>
        </w:rPr>
        <w:t>SRF</w:t>
      </w:r>
      <w:r>
        <w:t xml:space="preserve">. </w:t>
      </w:r>
      <w:r>
        <w:br/>
      </w:r>
      <w:r>
        <w:lastRenderedPageBreak/>
        <w:t xml:space="preserve">For readability, hide columns for unused </w:t>
      </w:r>
      <w:r w:rsidRPr="00A820AC">
        <w:rPr>
          <w:b/>
        </w:rPr>
        <w:t>Rates</w:t>
      </w:r>
      <w:r>
        <w:t xml:space="preserve">, taking care to leave the rightmost </w:t>
      </w:r>
      <w:r w:rsidRPr="00A820AC">
        <w:rPr>
          <w:b/>
        </w:rPr>
        <w:t xml:space="preserve">Totals </w:t>
      </w:r>
      <w:r>
        <w:t xml:space="preserve">column visible. </w:t>
      </w:r>
      <w:r w:rsidRPr="00F76A45">
        <w:t>The</w:t>
      </w:r>
      <w:r>
        <w:t xml:space="preserve"> total effort of each employee is monitored in the </w:t>
      </w:r>
      <w:r w:rsidRPr="00A820AC">
        <w:rPr>
          <w:b/>
        </w:rPr>
        <w:t>Total</w:t>
      </w:r>
      <w:r>
        <w:t xml:space="preserve"> </w:t>
      </w:r>
      <w:r w:rsidR="00B57634">
        <w:t>column and</w:t>
      </w:r>
      <w:r w:rsidRPr="00A820AC">
        <w:rPr>
          <w:u w:val="single"/>
        </w:rPr>
        <w:t xml:space="preserve"> should be 100%.</w:t>
      </w:r>
      <w:r>
        <w:t xml:space="preserve"> </w:t>
      </w:r>
    </w:p>
    <w:p w14:paraId="2BFFC6C7" w14:textId="796C0466" w:rsidR="00010379" w:rsidRDefault="00010379" w:rsidP="00010379">
      <w:pPr>
        <w:ind w:left="360"/>
      </w:pPr>
      <w:r>
        <w:t xml:space="preserve">The template has space for up to 7 employees. More rows may be added as needed, but in this case, care should be taken to update the sums in the grey-shaded </w:t>
      </w:r>
      <w:r w:rsidRPr="002744A6">
        <w:rPr>
          <w:b/>
        </w:rPr>
        <w:t>Totals</w:t>
      </w:r>
      <w:r>
        <w:t xml:space="preserve"> row at the bottom. </w:t>
      </w:r>
    </w:p>
    <w:p w14:paraId="3FF1B816" w14:textId="2FFBA664" w:rsidR="00DF31D4" w:rsidRPr="00880206" w:rsidRDefault="00DF31D4" w:rsidP="00010379">
      <w:pPr>
        <w:ind w:left="360"/>
      </w:pPr>
      <w:r>
        <w:t xml:space="preserve">The worksheet contains </w:t>
      </w:r>
      <w:r w:rsidR="00A52A17">
        <w:t>3</w:t>
      </w:r>
      <w:r>
        <w:t xml:space="preserve"> years projections. </w:t>
      </w:r>
      <w:r w:rsidR="00A354E0">
        <w:t>Scroll</w:t>
      </w:r>
      <w:r>
        <w:t xml:space="preserve"> down the worksheet to check </w:t>
      </w:r>
      <w:r w:rsidR="00A354E0">
        <w:t xml:space="preserve">if the data for </w:t>
      </w:r>
      <w:r>
        <w:t>each year</w:t>
      </w:r>
      <w:r w:rsidR="00A354E0">
        <w:t xml:space="preserve"> is correct. The Annual Salary includes 3% adjustment for each year.</w:t>
      </w:r>
    </w:p>
    <w:p w14:paraId="0E7980CF" w14:textId="34192A64" w:rsidR="00010379" w:rsidRPr="00531E70" w:rsidRDefault="001B6B33" w:rsidP="00010379">
      <w:pPr>
        <w:pStyle w:val="Heading2"/>
        <w:rPr>
          <w:rFonts w:eastAsia="Times New Roman"/>
          <w:i/>
          <w:iCs/>
          <w:color w:val="auto"/>
          <w:sz w:val="24"/>
          <w:szCs w:val="24"/>
        </w:rPr>
      </w:pPr>
      <w:r>
        <w:rPr>
          <w:rFonts w:eastAsia="Times New Roman"/>
          <w:i/>
          <w:iCs/>
          <w:color w:val="auto"/>
          <w:sz w:val="24"/>
          <w:szCs w:val="24"/>
        </w:rPr>
        <w:t xml:space="preserve"> </w:t>
      </w:r>
      <w:r w:rsidR="00010379" w:rsidRPr="00531E70">
        <w:rPr>
          <w:rFonts w:eastAsia="Times New Roman"/>
          <w:i/>
          <w:iCs/>
          <w:sz w:val="24"/>
          <w:szCs w:val="24"/>
        </w:rPr>
        <w:t>Fringe</w:t>
      </w:r>
    </w:p>
    <w:p w14:paraId="664F47BC" w14:textId="00C3DCE9" w:rsidR="00010379" w:rsidRPr="00880206" w:rsidRDefault="00010379" w:rsidP="00010379">
      <w:r>
        <w:t xml:space="preserve">The only thing that needs to be entered on this </w:t>
      </w:r>
      <w:r w:rsidR="00A354E0">
        <w:t>work</w:t>
      </w:r>
      <w:r>
        <w:t>sheet</w:t>
      </w:r>
      <w:r w:rsidR="00A354E0">
        <w:t xml:space="preserve"> for fringe</w:t>
      </w:r>
      <w:r>
        <w:t xml:space="preserve"> is the fringe benefit rate (%) in the </w:t>
      </w:r>
      <w:r>
        <w:rPr>
          <w:b/>
        </w:rPr>
        <w:t>Fringe Benefit Rate</w:t>
      </w:r>
      <w:r>
        <w:t xml:space="preserve"> row. </w:t>
      </w:r>
      <w:r w:rsidR="00AE7987">
        <w:t>This should be the internal fringe benefit rate</w:t>
      </w:r>
      <w:r w:rsidR="006A7CB1">
        <w:t xml:space="preserve">, not the rate approved for federal grant proposals. </w:t>
      </w:r>
      <w:r>
        <w:t xml:space="preserve">All other fields on this sheet are calculated from information entered </w:t>
      </w:r>
      <w:r w:rsidR="00F05264">
        <w:t xml:space="preserve">during the process above (The </w:t>
      </w:r>
      <w:r w:rsidR="00A354E0" w:rsidRPr="00531E70">
        <w:t>Salary</w:t>
      </w:r>
      <w:r w:rsidR="00F05264">
        <w:t xml:space="preserve"> section).</w:t>
      </w:r>
    </w:p>
    <w:p w14:paraId="0A7FDC87" w14:textId="6967EAFD" w:rsidR="00010379" w:rsidRDefault="00F05264" w:rsidP="00010379">
      <w:pPr>
        <w:pStyle w:val="Heading2"/>
        <w:rPr>
          <w:rFonts w:eastAsia="Times New Roman"/>
        </w:rPr>
      </w:pPr>
      <w:proofErr w:type="spellStart"/>
      <w:r>
        <w:rPr>
          <w:rFonts w:eastAsia="Times New Roman"/>
        </w:rPr>
        <w:t>Matls</w:t>
      </w:r>
      <w:proofErr w:type="spellEnd"/>
    </w:p>
    <w:p w14:paraId="663BE9BA" w14:textId="3AFFEB78" w:rsidR="00010379" w:rsidRDefault="00010379" w:rsidP="00010379">
      <w:r>
        <w:t xml:space="preserve">Each line of this worksheet corresponds to a type of material or supply used in </w:t>
      </w:r>
      <w:r w:rsidR="00E958CD">
        <w:t>S</w:t>
      </w:r>
      <w:r w:rsidR="00E958CD">
        <w:t xml:space="preserve">hared </w:t>
      </w:r>
      <w:r w:rsidR="00E958CD">
        <w:t>F</w:t>
      </w:r>
      <w:r w:rsidR="00E958CD">
        <w:t>acility</w:t>
      </w:r>
      <w:r>
        <w:t xml:space="preserve"> operation. For each type, specify</w:t>
      </w:r>
    </w:p>
    <w:p w14:paraId="238277BD" w14:textId="77777777" w:rsidR="00010379" w:rsidRDefault="00010379" w:rsidP="00010379">
      <w:pPr>
        <w:pStyle w:val="ListParagraph"/>
        <w:numPr>
          <w:ilvl w:val="0"/>
          <w:numId w:val="5"/>
        </w:numPr>
      </w:pPr>
      <w:r>
        <w:t>A brief description of the material or supply</w:t>
      </w:r>
    </w:p>
    <w:p w14:paraId="5F38481A" w14:textId="36BABEE3" w:rsidR="00010379" w:rsidRDefault="00010379" w:rsidP="00010379">
      <w:pPr>
        <w:pStyle w:val="ListParagraph"/>
        <w:numPr>
          <w:ilvl w:val="0"/>
          <w:numId w:val="5"/>
        </w:numPr>
      </w:pPr>
      <w:r>
        <w:t xml:space="preserve">The </w:t>
      </w:r>
      <w:r w:rsidR="003B495A" w:rsidRPr="00531E70">
        <w:rPr>
          <w:b/>
          <w:bCs/>
        </w:rPr>
        <w:t>Account Code</w:t>
      </w:r>
      <w:r w:rsidRPr="00531E70">
        <w:rPr>
          <w:b/>
          <w:bCs/>
        </w:rPr>
        <w:t xml:space="preserve"> </w:t>
      </w:r>
      <w:r>
        <w:t>for the material or supply if available</w:t>
      </w:r>
      <w:r w:rsidR="003B495A">
        <w:t>.</w:t>
      </w:r>
      <w:r>
        <w:t xml:space="preserve"> </w:t>
      </w:r>
      <w:r w:rsidR="006A7CB1">
        <w:t>A</w:t>
      </w:r>
      <w:r>
        <w:t xml:space="preserve"> brief listing of Northeastern codes is available at</w:t>
      </w:r>
      <w:r w:rsidR="00531E70">
        <w:t xml:space="preserve"> </w:t>
      </w:r>
      <w:hyperlink r:id="rId10" w:history="1">
        <w:r w:rsidR="006A7CB1" w:rsidRPr="00494957">
          <w:rPr>
            <w:rStyle w:val="Hyperlink"/>
          </w:rPr>
          <w:t>https://www.northeastern.edu/sabo/wp-content/uploads/2018/02/SABO-Acccount-Codes-2.pdf</w:t>
        </w:r>
      </w:hyperlink>
      <w:r w:rsidR="006A7CB1">
        <w:t xml:space="preserve"> </w:t>
      </w:r>
      <w:r>
        <w:t>)</w:t>
      </w:r>
    </w:p>
    <w:p w14:paraId="0D33015D" w14:textId="3539D29F" w:rsidR="00010379" w:rsidRDefault="00010379" w:rsidP="00010379">
      <w:pPr>
        <w:pStyle w:val="ListParagraph"/>
        <w:numPr>
          <w:ilvl w:val="0"/>
          <w:numId w:val="5"/>
        </w:numPr>
      </w:pPr>
      <w:r>
        <w:t xml:space="preserve">The </w:t>
      </w:r>
      <w:r w:rsidR="003B495A" w:rsidRPr="00531E70">
        <w:rPr>
          <w:b/>
          <w:bCs/>
        </w:rPr>
        <w:t xml:space="preserve">Total Amount </w:t>
      </w:r>
      <w:r w:rsidR="003B495A">
        <w:t xml:space="preserve">is the </w:t>
      </w:r>
      <w:r>
        <w:t xml:space="preserve">total annual cost </w:t>
      </w:r>
      <w:r w:rsidR="003B495A">
        <w:t xml:space="preserve">amount </w:t>
      </w:r>
      <w:r>
        <w:t>of the material or supply</w:t>
      </w:r>
    </w:p>
    <w:p w14:paraId="78C8002F" w14:textId="782AC792" w:rsidR="00010379" w:rsidRDefault="00010379" w:rsidP="00010379">
      <w:pPr>
        <w:pStyle w:val="ListParagraph"/>
        <w:numPr>
          <w:ilvl w:val="0"/>
          <w:numId w:val="5"/>
        </w:numPr>
      </w:pPr>
      <w:r>
        <w:t xml:space="preserve">For each defined </w:t>
      </w:r>
      <w:r>
        <w:rPr>
          <w:b/>
        </w:rPr>
        <w:t>Rate</w:t>
      </w:r>
      <w:r>
        <w:t xml:space="preserve">, specify the percentage of the material or supply used for that service. </w:t>
      </w:r>
    </w:p>
    <w:p w14:paraId="2BBBFC25" w14:textId="77777777" w:rsidR="00010379" w:rsidRDefault="00010379" w:rsidP="00010379">
      <w:pPr>
        <w:pStyle w:val="ListParagraph"/>
        <w:numPr>
          <w:ilvl w:val="0"/>
          <w:numId w:val="5"/>
        </w:numPr>
      </w:pPr>
      <w:r>
        <w:t xml:space="preserve">For readability, hide any unused </w:t>
      </w:r>
      <w:r>
        <w:rPr>
          <w:b/>
        </w:rPr>
        <w:t xml:space="preserve">Rate </w:t>
      </w:r>
      <w:r>
        <w:t xml:space="preserve">columns, taking care to leave the </w:t>
      </w:r>
      <w:r>
        <w:rPr>
          <w:b/>
        </w:rPr>
        <w:t>Total</w:t>
      </w:r>
      <w:r>
        <w:t xml:space="preserve"> columns visible. The total percentage of material used is kept in the </w:t>
      </w:r>
      <w:r>
        <w:rPr>
          <w:b/>
        </w:rPr>
        <w:t xml:space="preserve">Total </w:t>
      </w:r>
      <w:r>
        <w:t xml:space="preserve">column and </w:t>
      </w:r>
      <w:r w:rsidRPr="00A820AC">
        <w:rPr>
          <w:u w:val="single"/>
        </w:rPr>
        <w:t>should be 100%.</w:t>
      </w:r>
    </w:p>
    <w:p w14:paraId="65C4CEA9" w14:textId="25100AF8" w:rsidR="00010379" w:rsidRDefault="00010379" w:rsidP="00010379">
      <w:pPr>
        <w:ind w:left="360"/>
      </w:pPr>
      <w:r>
        <w:t xml:space="preserve">The template has space for up to </w:t>
      </w:r>
      <w:r w:rsidR="003B495A">
        <w:t xml:space="preserve">20 </w:t>
      </w:r>
      <w:r>
        <w:t xml:space="preserve">types of materials or supplies. More rows may be added as needed, but in this case, care should be taken to update the sums in the grey-shaded </w:t>
      </w:r>
      <w:r w:rsidRPr="002A6AF8">
        <w:rPr>
          <w:b/>
        </w:rPr>
        <w:t>Total</w:t>
      </w:r>
      <w:r>
        <w:t xml:space="preserve"> row at the bottom. </w:t>
      </w:r>
    </w:p>
    <w:p w14:paraId="4BCC9A59" w14:textId="66CF4F04" w:rsidR="00BD56FD" w:rsidRPr="00880206" w:rsidRDefault="00BD56FD" w:rsidP="00BD56FD">
      <w:pPr>
        <w:ind w:left="360"/>
      </w:pPr>
      <w:r>
        <w:t xml:space="preserve">The worksheet contains </w:t>
      </w:r>
      <w:r w:rsidR="00A52A17">
        <w:t>3</w:t>
      </w:r>
      <w:r>
        <w:t xml:space="preserve"> years projections. Scroll down the worksheet to check if the data for each year is correct.</w:t>
      </w:r>
    </w:p>
    <w:p w14:paraId="1F4E495B" w14:textId="35A18117" w:rsidR="00BD56FD" w:rsidRPr="00880206" w:rsidRDefault="00BD56FD" w:rsidP="00010379">
      <w:pPr>
        <w:ind w:left="360"/>
      </w:pPr>
    </w:p>
    <w:p w14:paraId="4A392494" w14:textId="5167E6C6" w:rsidR="00010379" w:rsidRDefault="00623500" w:rsidP="00010379">
      <w:pPr>
        <w:pStyle w:val="Heading2"/>
        <w:rPr>
          <w:rFonts w:eastAsia="Times New Roman"/>
        </w:rPr>
      </w:pPr>
      <w:proofErr w:type="spellStart"/>
      <w:r>
        <w:rPr>
          <w:rFonts w:eastAsia="Times New Roman"/>
        </w:rPr>
        <w:t>Maint</w:t>
      </w:r>
      <w:proofErr w:type="spellEnd"/>
    </w:p>
    <w:p w14:paraId="0D3D0CEC" w14:textId="0E5C8A48" w:rsidR="00010379" w:rsidRDefault="00010379" w:rsidP="00010379">
      <w:r>
        <w:t>Each line of this worksheet corresponds to</w:t>
      </w:r>
      <w:r w:rsidR="00623500">
        <w:t xml:space="preserve"> the</w:t>
      </w:r>
      <w:r>
        <w:t xml:space="preserve"> </w:t>
      </w:r>
      <w:r w:rsidR="00623500">
        <w:t>maintenance cost</w:t>
      </w:r>
      <w:r w:rsidR="00484BAD">
        <w:t>s</w:t>
      </w:r>
      <w:r w:rsidR="00623500">
        <w:t xml:space="preserve"> associate</w:t>
      </w:r>
      <w:r w:rsidR="00484BAD">
        <w:t>d with</w:t>
      </w:r>
      <w:r w:rsidR="00623500">
        <w:t xml:space="preserve"> </w:t>
      </w:r>
      <w:r>
        <w:t xml:space="preserve">an instrument or equipment used in </w:t>
      </w:r>
      <w:r w:rsidR="006176D8">
        <w:t xml:space="preserve">operation of the </w:t>
      </w:r>
      <w:r w:rsidR="00E958CD">
        <w:t>S</w:t>
      </w:r>
      <w:r w:rsidR="00E958CD">
        <w:t xml:space="preserve">hared </w:t>
      </w:r>
      <w:r w:rsidR="00E958CD">
        <w:t>F</w:t>
      </w:r>
      <w:r w:rsidR="00E958CD">
        <w:t>acility</w:t>
      </w:r>
      <w:r w:rsidR="00977410">
        <w:t xml:space="preserve">. </w:t>
      </w:r>
      <w:r>
        <w:t>For each one, specify</w:t>
      </w:r>
    </w:p>
    <w:p w14:paraId="7A257453" w14:textId="73818EC7" w:rsidR="00010379" w:rsidRDefault="00003D60" w:rsidP="00010379">
      <w:pPr>
        <w:pStyle w:val="ListParagraph"/>
        <w:numPr>
          <w:ilvl w:val="0"/>
          <w:numId w:val="6"/>
        </w:numPr>
      </w:pPr>
      <w:r>
        <w:t xml:space="preserve">In </w:t>
      </w:r>
      <w:r w:rsidRPr="00531E70">
        <w:rPr>
          <w:b/>
          <w:bCs/>
        </w:rPr>
        <w:t>Description of Equipment</w:t>
      </w:r>
      <w:r>
        <w:t xml:space="preserve"> column, a</w:t>
      </w:r>
      <w:r w:rsidR="00010379">
        <w:t xml:space="preserve"> brief description of the equipment, including manufacturer and model number if appropriate</w:t>
      </w:r>
      <w:r>
        <w:t>.</w:t>
      </w:r>
    </w:p>
    <w:p w14:paraId="09EC9602" w14:textId="3CDEE684" w:rsidR="00010379" w:rsidRDefault="007A7B7A" w:rsidP="00010379">
      <w:pPr>
        <w:pStyle w:val="ListParagraph"/>
        <w:numPr>
          <w:ilvl w:val="0"/>
          <w:numId w:val="6"/>
        </w:numPr>
      </w:pPr>
      <w:r w:rsidRPr="007A7B7A">
        <w:rPr>
          <w:bCs/>
        </w:rPr>
        <w:t>In</w:t>
      </w:r>
      <w:r>
        <w:rPr>
          <w:b/>
        </w:rPr>
        <w:t xml:space="preserve"> </w:t>
      </w:r>
      <w:r w:rsidR="00010379">
        <w:rPr>
          <w:b/>
        </w:rPr>
        <w:t xml:space="preserve">NU Tag #, </w:t>
      </w:r>
      <w:r w:rsidR="00010379">
        <w:t xml:space="preserve">the NU Inventory tag number for the instrument or equipment, if available.  </w:t>
      </w:r>
    </w:p>
    <w:p w14:paraId="544375F6" w14:textId="77777777" w:rsidR="00010379" w:rsidRDefault="00010379" w:rsidP="00010379">
      <w:pPr>
        <w:pStyle w:val="ListParagraph"/>
        <w:numPr>
          <w:ilvl w:val="1"/>
          <w:numId w:val="6"/>
        </w:numPr>
      </w:pPr>
      <w:r>
        <w:t xml:space="preserve">If an instrument consists of several individually tagged components, include each tag number, separated by commas. </w:t>
      </w:r>
    </w:p>
    <w:p w14:paraId="3B1130CA" w14:textId="77777777" w:rsidR="00010379" w:rsidRDefault="00010379" w:rsidP="00010379">
      <w:pPr>
        <w:pStyle w:val="ListParagraph"/>
        <w:numPr>
          <w:ilvl w:val="1"/>
          <w:numId w:val="6"/>
        </w:numPr>
      </w:pPr>
      <w:r>
        <w:t xml:space="preserve">If the instrument is </w:t>
      </w:r>
      <w:r>
        <w:rPr>
          <w:i/>
        </w:rPr>
        <w:t>leased</w:t>
      </w:r>
      <w:r>
        <w:t>, indicate “leased” in this space</w:t>
      </w:r>
    </w:p>
    <w:p w14:paraId="1D8987BB" w14:textId="0D7A15C2" w:rsidR="00010379" w:rsidRDefault="007A7B7A" w:rsidP="00010379">
      <w:pPr>
        <w:pStyle w:val="ListParagraph"/>
        <w:numPr>
          <w:ilvl w:val="0"/>
          <w:numId w:val="6"/>
        </w:numPr>
      </w:pPr>
      <w:r w:rsidRPr="007A7B7A">
        <w:lastRenderedPageBreak/>
        <w:t>In</w:t>
      </w:r>
      <w:r>
        <w:rPr>
          <w:b/>
          <w:bCs/>
        </w:rPr>
        <w:t xml:space="preserve"> </w:t>
      </w:r>
      <w:r w:rsidR="004A0E6F" w:rsidRPr="0060610D">
        <w:rPr>
          <w:b/>
          <w:bCs/>
        </w:rPr>
        <w:t xml:space="preserve">Index # </w:t>
      </w:r>
      <w:r>
        <w:rPr>
          <w:b/>
          <w:bCs/>
        </w:rPr>
        <w:t>(list all)</w:t>
      </w:r>
      <w:r w:rsidR="00010379">
        <w:rPr>
          <w:b/>
        </w:rPr>
        <w:t xml:space="preserve"> </w:t>
      </w:r>
      <w:r w:rsidR="00010379">
        <w:t xml:space="preserve">enter the </w:t>
      </w:r>
      <w:r w:rsidR="004A0E6F">
        <w:t xml:space="preserve">index </w:t>
      </w:r>
      <w:r w:rsidR="00010379">
        <w:t xml:space="preserve">number(s) used for purchase, partial purchase, or lease of the equipment </w:t>
      </w:r>
      <w:r>
        <w:t>including both</w:t>
      </w:r>
      <w:r w:rsidR="00010379">
        <w:t xml:space="preserve"> </w:t>
      </w:r>
      <w:r w:rsidR="00010379" w:rsidRPr="001F4BD4">
        <w:rPr>
          <w:i/>
        </w:rPr>
        <w:t>federal</w:t>
      </w:r>
      <w:r>
        <w:t xml:space="preserve"> </w:t>
      </w:r>
      <w:r w:rsidRPr="007A7B7A">
        <w:rPr>
          <w:i/>
          <w:iCs/>
        </w:rPr>
        <w:t>and</w:t>
      </w:r>
      <w:r>
        <w:t xml:space="preserve"> </w:t>
      </w:r>
      <w:r w:rsidR="004A0E6F" w:rsidRPr="00531E70">
        <w:rPr>
          <w:i/>
          <w:iCs/>
        </w:rPr>
        <w:t>non-federal</w:t>
      </w:r>
      <w:r w:rsidR="00531E70">
        <w:rPr>
          <w:i/>
          <w:iCs/>
        </w:rPr>
        <w:t xml:space="preserve"> </w:t>
      </w:r>
      <w:r w:rsidR="00010379">
        <w:t xml:space="preserve">funds.  If more than one </w:t>
      </w:r>
      <w:r w:rsidR="004A0E6F">
        <w:t xml:space="preserve">index </w:t>
      </w:r>
      <w:r w:rsidR="00010379">
        <w:t xml:space="preserve">was used, list the </w:t>
      </w:r>
      <w:r w:rsidR="004A0E6F">
        <w:t xml:space="preserve">index </w:t>
      </w:r>
      <w:r w:rsidR="00010379">
        <w:t>numbers separated by commas</w:t>
      </w:r>
    </w:p>
    <w:p w14:paraId="7A98B88F" w14:textId="7C99750C" w:rsidR="00010379" w:rsidRDefault="00010379" w:rsidP="00010379">
      <w:pPr>
        <w:pStyle w:val="ListParagraph"/>
        <w:numPr>
          <w:ilvl w:val="0"/>
          <w:numId w:val="6"/>
        </w:numPr>
      </w:pPr>
      <w:r>
        <w:rPr>
          <w:b/>
        </w:rPr>
        <w:t>Maintenance Contract PO #</w:t>
      </w:r>
      <w:r>
        <w:t>, give the Purchase Order number for the service contract supporting the equipment. If the equipment is not covered by a service contract, enter “None”.</w:t>
      </w:r>
    </w:p>
    <w:p w14:paraId="4FED3B70" w14:textId="7543A338" w:rsidR="00010379" w:rsidRDefault="00B12CDA" w:rsidP="00010379">
      <w:pPr>
        <w:pStyle w:val="ListParagraph"/>
        <w:numPr>
          <w:ilvl w:val="0"/>
          <w:numId w:val="6"/>
        </w:numPr>
      </w:pPr>
      <w:r>
        <w:t>In</w:t>
      </w:r>
      <w:r w:rsidR="00531E70">
        <w:t xml:space="preserve"> </w:t>
      </w:r>
      <w:r w:rsidR="00010379" w:rsidRPr="001F4BD4">
        <w:rPr>
          <w:b/>
        </w:rPr>
        <w:t xml:space="preserve">Total Maintenance </w:t>
      </w:r>
      <w:r w:rsidR="00BD56FD">
        <w:rPr>
          <w:b/>
        </w:rPr>
        <w:t>Amount</w:t>
      </w:r>
      <w:r w:rsidR="00BD56FD">
        <w:t xml:space="preserve">, </w:t>
      </w:r>
      <w:r w:rsidR="00010379">
        <w:t>enter the annualized cost of any service contract for the equipment. Maintenance funds may be allocated for an instrument even if it is not under a maintenance contract and local staff are qualified to perform maintenance on the equipment.</w:t>
      </w:r>
    </w:p>
    <w:p w14:paraId="5B0E0A55" w14:textId="139BC359" w:rsidR="00010379" w:rsidRDefault="00010379" w:rsidP="00010379">
      <w:pPr>
        <w:pStyle w:val="ListParagraph"/>
        <w:numPr>
          <w:ilvl w:val="0"/>
          <w:numId w:val="6"/>
        </w:numPr>
      </w:pPr>
      <w:r>
        <w:rPr>
          <w:b/>
        </w:rPr>
        <w:t xml:space="preserve">% Time Allocated to </w:t>
      </w:r>
      <w:r w:rsidR="00667925">
        <w:rPr>
          <w:b/>
        </w:rPr>
        <w:t>SRF</w:t>
      </w:r>
      <w:r w:rsidR="00011F89">
        <w:rPr>
          <w:b/>
        </w:rPr>
        <w:t>,</w:t>
      </w:r>
      <w:r>
        <w:rPr>
          <w:b/>
        </w:rPr>
        <w:t xml:space="preserve"> </w:t>
      </w:r>
      <w:r>
        <w:t xml:space="preserve">enter the fraction of the equipment’s time that is available to </w:t>
      </w:r>
      <w:r w:rsidR="00E958CD">
        <w:t>S</w:t>
      </w:r>
      <w:r w:rsidR="00E958CD">
        <w:t xml:space="preserve">hared </w:t>
      </w:r>
      <w:r w:rsidR="00E958CD">
        <w:t>F</w:t>
      </w:r>
      <w:r w:rsidR="00E958CD">
        <w:t>acility</w:t>
      </w:r>
      <w:r w:rsidR="000C7CD8">
        <w:t xml:space="preserve"> </w:t>
      </w:r>
      <w:r>
        <w:t>users.</w:t>
      </w:r>
    </w:p>
    <w:p w14:paraId="44AF4621" w14:textId="32AA51D4" w:rsidR="00010379" w:rsidRDefault="00010379" w:rsidP="00010379">
      <w:pPr>
        <w:pStyle w:val="ListParagraph"/>
        <w:numPr>
          <w:ilvl w:val="0"/>
          <w:numId w:val="6"/>
        </w:numPr>
      </w:pPr>
      <w:r>
        <w:t xml:space="preserve">For each identified </w:t>
      </w:r>
      <w:r>
        <w:rPr>
          <w:b/>
        </w:rPr>
        <w:t>Rate</w:t>
      </w:r>
      <w:r>
        <w:t xml:space="preserve">, identify the </w:t>
      </w:r>
      <w:r w:rsidR="0023698C">
        <w:t xml:space="preserve">percentage </w:t>
      </w:r>
      <w:r>
        <w:t xml:space="preserve">of the equipment’s </w:t>
      </w:r>
      <w:r w:rsidR="00E958CD">
        <w:t>shared facility</w:t>
      </w:r>
      <w:r w:rsidR="00E958CD" w:rsidRPr="000207A5">
        <w:rPr>
          <w:rFonts w:eastAsia="Times New Roman" w:cstheme="minorHAnsi"/>
        </w:rPr>
        <w:t xml:space="preserve"> </w:t>
      </w:r>
      <w:r>
        <w:t xml:space="preserve">time that will be used for the given service. Typically, a given instrument will be used for only one or two services. </w:t>
      </w:r>
    </w:p>
    <w:p w14:paraId="1322455F" w14:textId="0D358F8E" w:rsidR="00010379" w:rsidRDefault="00010379" w:rsidP="00010379">
      <w:pPr>
        <w:pStyle w:val="ListParagraph"/>
        <w:numPr>
          <w:ilvl w:val="0"/>
          <w:numId w:val="6"/>
        </w:numPr>
      </w:pPr>
      <w:r>
        <w:t xml:space="preserve">For readability, hide any unused </w:t>
      </w:r>
      <w:r w:rsidRPr="001F4BD4">
        <w:rPr>
          <w:b/>
        </w:rPr>
        <w:t xml:space="preserve">Rate </w:t>
      </w:r>
      <w:r>
        <w:t xml:space="preserve">columns, taking care to leave the </w:t>
      </w:r>
      <w:r w:rsidRPr="001F4BD4">
        <w:rPr>
          <w:b/>
        </w:rPr>
        <w:t>Total</w:t>
      </w:r>
      <w:r>
        <w:t xml:space="preserve"> columns visible. The total percentage of </w:t>
      </w:r>
      <w:r w:rsidR="00E958CD">
        <w:t>shared facility</w:t>
      </w:r>
      <w:r w:rsidR="00E958CD" w:rsidRPr="000207A5">
        <w:rPr>
          <w:rFonts w:eastAsia="Times New Roman" w:cstheme="minorHAnsi"/>
        </w:rPr>
        <w:t xml:space="preserve"> </w:t>
      </w:r>
      <w:r>
        <w:t xml:space="preserve">instrument time is kept in the </w:t>
      </w:r>
      <w:r w:rsidRPr="001F4BD4">
        <w:rPr>
          <w:b/>
        </w:rPr>
        <w:t xml:space="preserve">Total </w:t>
      </w:r>
      <w:r>
        <w:t xml:space="preserve">column and </w:t>
      </w:r>
      <w:r w:rsidRPr="00531E70">
        <w:rPr>
          <w:u w:val="single"/>
        </w:rPr>
        <w:t>should be 100%.</w:t>
      </w:r>
    </w:p>
    <w:p w14:paraId="24CBF7C6" w14:textId="3BEA79EB" w:rsidR="00010379" w:rsidRDefault="00010379" w:rsidP="00010379">
      <w:pPr>
        <w:ind w:left="360"/>
      </w:pPr>
      <w:r>
        <w:t xml:space="preserve">The template has space for up to </w:t>
      </w:r>
      <w:r w:rsidR="00BD56FD">
        <w:t xml:space="preserve">10 </w:t>
      </w:r>
      <w:r>
        <w:t xml:space="preserve">pieces of equipment. More rows may be added as needed, but in this case, care should be taken to update the sums in the grey-shaded </w:t>
      </w:r>
      <w:r>
        <w:rPr>
          <w:b/>
        </w:rPr>
        <w:t>Totals</w:t>
      </w:r>
      <w:r>
        <w:t xml:space="preserve"> row at the bottom. </w:t>
      </w:r>
    </w:p>
    <w:p w14:paraId="1AEE2593" w14:textId="61A6BED3" w:rsidR="00BD56FD" w:rsidRPr="00880206" w:rsidRDefault="00BD56FD" w:rsidP="00BD56FD">
      <w:pPr>
        <w:ind w:left="360"/>
      </w:pPr>
      <w:r>
        <w:t xml:space="preserve">The worksheet contains </w:t>
      </w:r>
      <w:r w:rsidR="00A52A17">
        <w:t>3</w:t>
      </w:r>
      <w:r>
        <w:t xml:space="preserve"> years projections. Scroll down the worksheet to check if the data for each year is correct. </w:t>
      </w:r>
    </w:p>
    <w:p w14:paraId="53E63A78" w14:textId="77777777" w:rsidR="00BD56FD" w:rsidRPr="00880206" w:rsidRDefault="00BD56FD" w:rsidP="00010379">
      <w:pPr>
        <w:ind w:left="360"/>
      </w:pPr>
    </w:p>
    <w:p w14:paraId="3FED2B7D" w14:textId="77777777" w:rsidR="00010379" w:rsidRDefault="00010379" w:rsidP="00010379">
      <w:pPr>
        <w:pStyle w:val="Heading2"/>
        <w:rPr>
          <w:rFonts w:eastAsia="Times New Roman"/>
        </w:rPr>
      </w:pPr>
      <w:r w:rsidRPr="00AD674C">
        <w:rPr>
          <w:rFonts w:eastAsia="Times New Roman"/>
        </w:rPr>
        <w:t>Other</w:t>
      </w:r>
    </w:p>
    <w:p w14:paraId="08AA3BF8" w14:textId="1C9749FF" w:rsidR="00010379" w:rsidRDefault="00010379" w:rsidP="00010379">
      <w:r>
        <w:t xml:space="preserve">Each line of this worksheet corresponds to an additional direct cost of </w:t>
      </w:r>
      <w:r w:rsidR="00E958CD">
        <w:t>shared facility</w:t>
      </w:r>
      <w:r>
        <w:t xml:space="preserve"> operation not included on the other worksheets. </w:t>
      </w:r>
      <w:r w:rsidR="00101E09">
        <w:t>Possible</w:t>
      </w:r>
      <w:r>
        <w:t xml:space="preserve"> categories </w:t>
      </w:r>
      <w:r w:rsidR="00101E09">
        <w:t>include</w:t>
      </w:r>
      <w:r w:rsidR="00F72FC6">
        <w:t xml:space="preserve"> travel for relevant conferences or training, </w:t>
      </w:r>
      <w:r w:rsidR="00AA0B79">
        <w:t>billing/scheduling software, web development</w:t>
      </w:r>
      <w:r w:rsidR="00CF4645">
        <w:t xml:space="preserve">, </w:t>
      </w:r>
      <w:r w:rsidR="0082600E">
        <w:t xml:space="preserve">and data storage. More information </w:t>
      </w:r>
      <w:r w:rsidR="00322846">
        <w:t xml:space="preserve">on the allowability of costs in this category is available from </w:t>
      </w:r>
      <w:proofErr w:type="spellStart"/>
      <w:r w:rsidR="00322846">
        <w:t>Northeastern’s</w:t>
      </w:r>
      <w:proofErr w:type="spellEnd"/>
      <w:r w:rsidR="00322846">
        <w:t xml:space="preserve"> Research website. </w:t>
      </w:r>
      <w:r>
        <w:t>For each item, specify</w:t>
      </w:r>
    </w:p>
    <w:p w14:paraId="05CB5F9B" w14:textId="4BE52A5A" w:rsidR="00010379" w:rsidRDefault="00010379" w:rsidP="00010379">
      <w:pPr>
        <w:pStyle w:val="ListParagraph"/>
        <w:numPr>
          <w:ilvl w:val="0"/>
          <w:numId w:val="7"/>
        </w:numPr>
      </w:pPr>
      <w:r>
        <w:t xml:space="preserve">A description of the </w:t>
      </w:r>
      <w:r w:rsidR="000661EF">
        <w:t xml:space="preserve">direct </w:t>
      </w:r>
      <w:r>
        <w:t>cost</w:t>
      </w:r>
    </w:p>
    <w:p w14:paraId="661F6DDC" w14:textId="0A3F906D" w:rsidR="00010379" w:rsidRDefault="00010379" w:rsidP="00010379">
      <w:pPr>
        <w:pStyle w:val="ListParagraph"/>
        <w:numPr>
          <w:ilvl w:val="0"/>
          <w:numId w:val="7"/>
        </w:numPr>
      </w:pPr>
      <w:r>
        <w:t xml:space="preserve">The </w:t>
      </w:r>
      <w:r w:rsidR="000661EF">
        <w:t>Account Code</w:t>
      </w:r>
      <w:r>
        <w:t xml:space="preserve"> for the item if available (a brief listing of Northeastern codes is available at </w:t>
      </w:r>
      <w:hyperlink r:id="rId11" w:history="1">
        <w:r w:rsidR="00322846" w:rsidRPr="00494957">
          <w:rPr>
            <w:rStyle w:val="Hyperlink"/>
          </w:rPr>
          <w:t>https://www.northeastern.edu/sabo/wp-content/uploads/2018/02/SABO-Acccount-Codes-2.pdf</w:t>
        </w:r>
      </w:hyperlink>
      <w:r>
        <w:t>)</w:t>
      </w:r>
    </w:p>
    <w:p w14:paraId="5EC685BC" w14:textId="76EFE3C6" w:rsidR="00010379" w:rsidRDefault="00010379" w:rsidP="00010379">
      <w:pPr>
        <w:pStyle w:val="ListParagraph"/>
        <w:numPr>
          <w:ilvl w:val="0"/>
          <w:numId w:val="7"/>
        </w:numPr>
      </w:pPr>
      <w:r>
        <w:rPr>
          <w:b/>
        </w:rPr>
        <w:t xml:space="preserve">Total </w:t>
      </w:r>
      <w:r w:rsidRPr="00932656">
        <w:rPr>
          <w:b/>
        </w:rPr>
        <w:t>Amount</w:t>
      </w:r>
      <w:r>
        <w:rPr>
          <w:b/>
        </w:rPr>
        <w:t xml:space="preserve">, </w:t>
      </w:r>
      <w:r w:rsidRPr="00932656">
        <w:t>the</w:t>
      </w:r>
      <w:r>
        <w:t xml:space="preserve"> annual cost of the item</w:t>
      </w:r>
    </w:p>
    <w:p w14:paraId="01055DF5" w14:textId="267AD764" w:rsidR="00010379" w:rsidRDefault="00010379" w:rsidP="00010379">
      <w:pPr>
        <w:pStyle w:val="ListParagraph"/>
        <w:numPr>
          <w:ilvl w:val="0"/>
          <w:numId w:val="7"/>
        </w:numPr>
      </w:pPr>
      <w:r>
        <w:t xml:space="preserve">For each identified </w:t>
      </w:r>
      <w:r w:rsidRPr="00932656">
        <w:rPr>
          <w:b/>
        </w:rPr>
        <w:t>Rate</w:t>
      </w:r>
      <w:r>
        <w:t xml:space="preserve">, identify the </w:t>
      </w:r>
      <w:r w:rsidR="0023698C">
        <w:t xml:space="preserve">percentage </w:t>
      </w:r>
      <w:r>
        <w:t xml:space="preserve">of the cost allocated the given service. Typically, “Other” costs are distributed over the available </w:t>
      </w:r>
      <w:r w:rsidRPr="00932656">
        <w:rPr>
          <w:b/>
        </w:rPr>
        <w:t xml:space="preserve">Rates </w:t>
      </w:r>
      <w:r>
        <w:t xml:space="preserve">in proportion to the time the </w:t>
      </w:r>
      <w:r w:rsidR="00E958CD">
        <w:t>shared facility</w:t>
      </w:r>
      <w:r w:rsidR="00980D6B">
        <w:t xml:space="preserve"> </w:t>
      </w:r>
      <w:r>
        <w:t xml:space="preserve">spends on each service, but they may also be evenly distributed. </w:t>
      </w:r>
    </w:p>
    <w:p w14:paraId="45F23F9E" w14:textId="61480829" w:rsidR="00010379" w:rsidRDefault="00010379" w:rsidP="00010379">
      <w:pPr>
        <w:pStyle w:val="ListParagraph"/>
        <w:numPr>
          <w:ilvl w:val="0"/>
          <w:numId w:val="7"/>
        </w:numPr>
      </w:pPr>
      <w:r>
        <w:t xml:space="preserve">For readability, hide any unused </w:t>
      </w:r>
      <w:r w:rsidRPr="00932656">
        <w:rPr>
          <w:b/>
        </w:rPr>
        <w:t xml:space="preserve">Rate </w:t>
      </w:r>
      <w:r>
        <w:t xml:space="preserve">columns, taking care to leave the </w:t>
      </w:r>
      <w:r w:rsidRPr="00932656">
        <w:rPr>
          <w:b/>
        </w:rPr>
        <w:t>Total</w:t>
      </w:r>
      <w:r>
        <w:t xml:space="preserve"> columns visible. The total percentage of </w:t>
      </w:r>
      <w:r w:rsidR="00E958CD">
        <w:t>shared facility</w:t>
      </w:r>
      <w:r>
        <w:t xml:space="preserve"> instrument time is kept in the </w:t>
      </w:r>
      <w:r w:rsidRPr="00932656">
        <w:rPr>
          <w:b/>
        </w:rPr>
        <w:t xml:space="preserve">Total </w:t>
      </w:r>
      <w:r>
        <w:t xml:space="preserve">column and </w:t>
      </w:r>
      <w:r w:rsidRPr="00531E70">
        <w:rPr>
          <w:u w:val="single"/>
        </w:rPr>
        <w:t>should be 100%.</w:t>
      </w:r>
    </w:p>
    <w:p w14:paraId="797F7267" w14:textId="5BFD8C56" w:rsidR="00010379" w:rsidRDefault="00010379" w:rsidP="00010379">
      <w:pPr>
        <w:ind w:left="360"/>
      </w:pPr>
      <w:r>
        <w:lastRenderedPageBreak/>
        <w:t xml:space="preserve">The template has space for up to 10 categories of “Other” costs.  More rows may be added as needed, but in this case, care should be taken to update the sums in the grey-shaded </w:t>
      </w:r>
      <w:r>
        <w:rPr>
          <w:b/>
        </w:rPr>
        <w:t>Total</w:t>
      </w:r>
      <w:r>
        <w:t xml:space="preserve"> row at the bottom. </w:t>
      </w:r>
    </w:p>
    <w:p w14:paraId="28FDB03C" w14:textId="1E0EA504" w:rsidR="0023698C" w:rsidRPr="00880206" w:rsidRDefault="0023698C" w:rsidP="0023698C">
      <w:pPr>
        <w:ind w:left="360"/>
      </w:pPr>
      <w:r>
        <w:t xml:space="preserve">The worksheet contains </w:t>
      </w:r>
      <w:r w:rsidR="00A52A17">
        <w:t>3</w:t>
      </w:r>
      <w:r>
        <w:t xml:space="preserve"> years projections. Scroll down the worksheet to check if the data for each year is correct. </w:t>
      </w:r>
    </w:p>
    <w:p w14:paraId="2954D534" w14:textId="77777777" w:rsidR="00010379" w:rsidRDefault="00010379" w:rsidP="00010379">
      <w:pPr>
        <w:pStyle w:val="Heading2"/>
        <w:rPr>
          <w:rFonts w:eastAsia="Times New Roman"/>
        </w:rPr>
      </w:pPr>
      <w:r>
        <w:rPr>
          <w:rFonts w:eastAsia="Times New Roman"/>
        </w:rPr>
        <w:t>Subsidy</w:t>
      </w:r>
    </w:p>
    <w:p w14:paraId="3683E211" w14:textId="10056C3B" w:rsidR="00010379" w:rsidRDefault="00010379" w:rsidP="00010379">
      <w:pPr>
        <w:keepNext/>
        <w:keepLines/>
      </w:pPr>
      <w:r>
        <w:t xml:space="preserve">This worksheet lists sources of financial support within the University that are used to offset the cost of </w:t>
      </w:r>
      <w:r w:rsidR="00E958CD">
        <w:t>S</w:t>
      </w:r>
      <w:r w:rsidR="00E958CD">
        <w:t xml:space="preserve">hared </w:t>
      </w:r>
      <w:r w:rsidR="00E958CD">
        <w:t>F</w:t>
      </w:r>
      <w:r w:rsidR="00E958CD">
        <w:t>acility</w:t>
      </w:r>
      <w:r w:rsidR="00980D6B">
        <w:t xml:space="preserve"> </w:t>
      </w:r>
      <w:r>
        <w:t xml:space="preserve">operation. It is important to include all such support to provide the most accurate estimate of costs possible.  For each separate subsidy </w:t>
      </w:r>
    </w:p>
    <w:p w14:paraId="7C846629" w14:textId="77777777" w:rsidR="00010379" w:rsidRDefault="00010379" w:rsidP="00010379">
      <w:pPr>
        <w:pStyle w:val="ListParagraph"/>
        <w:keepNext/>
        <w:keepLines/>
        <w:numPr>
          <w:ilvl w:val="0"/>
          <w:numId w:val="8"/>
        </w:numPr>
      </w:pPr>
      <w:r>
        <w:t>A description of the subsidy</w:t>
      </w:r>
    </w:p>
    <w:p w14:paraId="7E5037BD" w14:textId="0FF9520C" w:rsidR="00010379" w:rsidRDefault="00010379" w:rsidP="00010379">
      <w:pPr>
        <w:pStyle w:val="ListParagraph"/>
        <w:numPr>
          <w:ilvl w:val="0"/>
          <w:numId w:val="8"/>
        </w:numPr>
      </w:pPr>
      <w:r>
        <w:rPr>
          <w:b/>
        </w:rPr>
        <w:t xml:space="preserve">Subsidizing </w:t>
      </w:r>
      <w:r w:rsidR="00EF41A3">
        <w:rPr>
          <w:b/>
        </w:rPr>
        <w:t>Org</w:t>
      </w:r>
      <w:r w:rsidR="0023698C">
        <w:rPr>
          <w:b/>
        </w:rPr>
        <w:t>,</w:t>
      </w:r>
      <w:r w:rsidR="00EF41A3">
        <w:rPr>
          <w:b/>
        </w:rPr>
        <w:t xml:space="preserve"> </w:t>
      </w:r>
      <w:r>
        <w:t xml:space="preserve">list the department or departments supplying the subsidy </w:t>
      </w:r>
    </w:p>
    <w:p w14:paraId="66774FCF" w14:textId="643C9E62" w:rsidR="00010379" w:rsidRDefault="00EF41A3" w:rsidP="00010379">
      <w:pPr>
        <w:pStyle w:val="ListParagraph"/>
        <w:numPr>
          <w:ilvl w:val="0"/>
          <w:numId w:val="8"/>
        </w:numPr>
      </w:pPr>
      <w:r>
        <w:rPr>
          <w:b/>
        </w:rPr>
        <w:t xml:space="preserve">Subsidizing Index </w:t>
      </w:r>
      <w:r w:rsidR="00010379">
        <w:rPr>
          <w:b/>
        </w:rPr>
        <w:t>#</w:t>
      </w:r>
      <w:r w:rsidR="00010379">
        <w:t>, list the number(s) of the account(s) providing the subsidy</w:t>
      </w:r>
    </w:p>
    <w:p w14:paraId="0A3DA5AC" w14:textId="77777777" w:rsidR="00010379" w:rsidRDefault="00010379" w:rsidP="00010379">
      <w:pPr>
        <w:pStyle w:val="ListParagraph"/>
        <w:numPr>
          <w:ilvl w:val="0"/>
          <w:numId w:val="8"/>
        </w:numPr>
      </w:pPr>
      <w:r>
        <w:t xml:space="preserve">Under </w:t>
      </w:r>
      <w:r>
        <w:rPr>
          <w:b/>
        </w:rPr>
        <w:t xml:space="preserve">Total </w:t>
      </w:r>
      <w:r w:rsidRPr="00932656">
        <w:rPr>
          <w:b/>
        </w:rPr>
        <w:t>Amount</w:t>
      </w:r>
      <w:r>
        <w:rPr>
          <w:b/>
        </w:rPr>
        <w:t xml:space="preserve">, </w:t>
      </w:r>
      <w:r w:rsidRPr="00932656">
        <w:t>the</w:t>
      </w:r>
      <w:r>
        <w:t xml:space="preserve"> annual amount of the subsidy</w:t>
      </w:r>
    </w:p>
    <w:p w14:paraId="7A09796B" w14:textId="0494F271" w:rsidR="00010379" w:rsidRDefault="00010379" w:rsidP="00010379">
      <w:pPr>
        <w:pStyle w:val="ListParagraph"/>
        <w:numPr>
          <w:ilvl w:val="0"/>
          <w:numId w:val="8"/>
        </w:numPr>
      </w:pPr>
      <w:r>
        <w:t xml:space="preserve">For each identified </w:t>
      </w:r>
      <w:r w:rsidRPr="00932656">
        <w:rPr>
          <w:b/>
        </w:rPr>
        <w:t>Rate</w:t>
      </w:r>
      <w:r>
        <w:t xml:space="preserve">, identify the </w:t>
      </w:r>
      <w:r w:rsidR="0023698C">
        <w:t xml:space="preserve">percentage </w:t>
      </w:r>
      <w:r>
        <w:t xml:space="preserve">of the subsidy allocated the given service. </w:t>
      </w:r>
    </w:p>
    <w:p w14:paraId="5883F814" w14:textId="77777777" w:rsidR="00010379" w:rsidRDefault="00010379" w:rsidP="00010379">
      <w:pPr>
        <w:pStyle w:val="ListParagraph"/>
        <w:numPr>
          <w:ilvl w:val="0"/>
          <w:numId w:val="8"/>
        </w:numPr>
      </w:pPr>
      <w:r>
        <w:t xml:space="preserve">For readability, hide any unused </w:t>
      </w:r>
      <w:r w:rsidRPr="00932656">
        <w:rPr>
          <w:b/>
        </w:rPr>
        <w:t xml:space="preserve">Rate </w:t>
      </w:r>
      <w:r>
        <w:t xml:space="preserve">columns, taking care to leave the </w:t>
      </w:r>
      <w:r w:rsidRPr="00932656">
        <w:rPr>
          <w:b/>
        </w:rPr>
        <w:t>Total</w:t>
      </w:r>
      <w:r>
        <w:t xml:space="preserve"> columns visible. The total percentage of each subsidy is kept in the </w:t>
      </w:r>
      <w:r w:rsidRPr="00932656">
        <w:rPr>
          <w:b/>
        </w:rPr>
        <w:t xml:space="preserve">Total </w:t>
      </w:r>
      <w:r>
        <w:t xml:space="preserve">column and </w:t>
      </w:r>
      <w:r w:rsidRPr="00531E70">
        <w:rPr>
          <w:u w:val="single"/>
        </w:rPr>
        <w:t>should be 100%.</w:t>
      </w:r>
    </w:p>
    <w:p w14:paraId="59D0FAFE" w14:textId="7A83CF20" w:rsidR="00010379" w:rsidRDefault="00010379" w:rsidP="00010379">
      <w:pPr>
        <w:ind w:left="360"/>
      </w:pPr>
      <w:r>
        <w:t xml:space="preserve">The template has space for up to 9 types of subsidy. More rows may be added as needed, but in this case, care should be taken to update the sums in the grey-shaded </w:t>
      </w:r>
      <w:r>
        <w:rPr>
          <w:b/>
        </w:rPr>
        <w:t>Total</w:t>
      </w:r>
      <w:r>
        <w:t xml:space="preserve"> row at the bottom. </w:t>
      </w:r>
    </w:p>
    <w:p w14:paraId="4617236A" w14:textId="6CB4A419" w:rsidR="0023698C" w:rsidRPr="00880206" w:rsidRDefault="0023698C" w:rsidP="0023698C">
      <w:pPr>
        <w:ind w:left="360"/>
      </w:pPr>
      <w:r>
        <w:t xml:space="preserve">The worksheet contains </w:t>
      </w:r>
      <w:r w:rsidR="00A52A17">
        <w:t>3</w:t>
      </w:r>
      <w:r>
        <w:t xml:space="preserve"> years projections. Scroll down the worksheet to check if the data for each year is correct. </w:t>
      </w:r>
    </w:p>
    <w:p w14:paraId="2DADF264" w14:textId="77777777" w:rsidR="0023698C" w:rsidRPr="00880206" w:rsidRDefault="0023698C" w:rsidP="00010379">
      <w:pPr>
        <w:ind w:left="360"/>
      </w:pPr>
    </w:p>
    <w:p w14:paraId="4139D969" w14:textId="77777777" w:rsidR="00010379" w:rsidRDefault="00010379" w:rsidP="00010379">
      <w:pPr>
        <w:pStyle w:val="Heading2"/>
      </w:pPr>
      <w:r>
        <w:t>Completing the Rate Determination Sheet</w:t>
      </w:r>
    </w:p>
    <w:p w14:paraId="635663A4" w14:textId="262607BD" w:rsidR="00010379" w:rsidRPr="0040248A" w:rsidRDefault="00010379" w:rsidP="00010379">
      <w:r>
        <w:t xml:space="preserve">Return to the </w:t>
      </w:r>
      <w:r w:rsidRPr="00531E70">
        <w:rPr>
          <w:bCs/>
        </w:rPr>
        <w:t>Rate</w:t>
      </w:r>
      <w:r w:rsidRPr="002971CA">
        <w:rPr>
          <w:bCs/>
        </w:rPr>
        <w:t xml:space="preserve"> </w:t>
      </w:r>
      <w:r>
        <w:t>worksheet to complete rate estimation. The itemized and total costs</w:t>
      </w:r>
      <w:r w:rsidR="002971CA">
        <w:t>,</w:t>
      </w:r>
      <w:r>
        <w:t xml:space="preserve"> and subsidies from the detail worksheets should appear for each of the services that have been defined.</w:t>
      </w:r>
    </w:p>
    <w:tbl>
      <w:tblPr>
        <w:tblpPr w:leftFromText="180" w:rightFromText="180" w:vertAnchor="text" w:horzAnchor="margin" w:tblpY="1830"/>
        <w:tblW w:w="93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73"/>
        <w:gridCol w:w="6537"/>
      </w:tblGrid>
      <w:tr w:rsidR="006636F1" w:rsidRPr="00D206D7" w14:paraId="36C182E8" w14:textId="77777777" w:rsidTr="006636F1">
        <w:trPr>
          <w:trHeight w:val="216"/>
        </w:trPr>
        <w:tc>
          <w:tcPr>
            <w:tcW w:w="2773" w:type="dxa"/>
            <w:shd w:val="clear" w:color="000000" w:fill="D9D9D9"/>
            <w:noWrap/>
            <w:vAlign w:val="bottom"/>
            <w:hideMark/>
          </w:tcPr>
          <w:p w14:paraId="7A752FFB" w14:textId="77777777" w:rsidR="006636F1" w:rsidRPr="00D206D7" w:rsidRDefault="006636F1" w:rsidP="006636F1">
            <w:pPr>
              <w:spacing w:after="0" w:line="240" w:lineRule="auto"/>
              <w:rPr>
                <w:rFonts w:ascii="Helvetica" w:eastAsia="Times New Roman" w:hAnsi="Helvetica" w:cs="Arial"/>
                <w:b/>
                <w:bCs/>
                <w:sz w:val="16"/>
                <w:szCs w:val="16"/>
                <w:lang w:eastAsia="zh-TW"/>
              </w:rPr>
            </w:pPr>
            <w:r w:rsidRPr="00D206D7">
              <w:rPr>
                <w:rFonts w:ascii="Helvetica" w:eastAsia="Times New Roman" w:hAnsi="Helvetica" w:cs="Arial"/>
                <w:b/>
                <w:bCs/>
                <w:sz w:val="16"/>
                <w:szCs w:val="16"/>
                <w:lang w:eastAsia="zh-TW"/>
              </w:rPr>
              <w:t>User Group</w:t>
            </w:r>
          </w:p>
        </w:tc>
        <w:tc>
          <w:tcPr>
            <w:tcW w:w="6537" w:type="dxa"/>
            <w:shd w:val="clear" w:color="000000" w:fill="D9D9D9"/>
            <w:noWrap/>
            <w:vAlign w:val="bottom"/>
            <w:hideMark/>
          </w:tcPr>
          <w:p w14:paraId="7CBE975B" w14:textId="77777777" w:rsidR="006636F1" w:rsidRPr="00D206D7" w:rsidRDefault="006636F1" w:rsidP="006636F1">
            <w:pPr>
              <w:spacing w:after="0" w:line="240" w:lineRule="auto"/>
              <w:rPr>
                <w:rFonts w:ascii="Helvetica" w:eastAsia="Times New Roman" w:hAnsi="Helvetica" w:cs="Arial"/>
                <w:b/>
                <w:bCs/>
                <w:sz w:val="16"/>
                <w:szCs w:val="16"/>
                <w:lang w:eastAsia="zh-TW"/>
              </w:rPr>
            </w:pPr>
            <w:r w:rsidRPr="00D206D7">
              <w:rPr>
                <w:rFonts w:ascii="Helvetica" w:eastAsia="Times New Roman" w:hAnsi="Helvetica" w:cs="Arial"/>
                <w:b/>
                <w:bCs/>
                <w:sz w:val="16"/>
                <w:szCs w:val="16"/>
                <w:lang w:eastAsia="zh-TW"/>
              </w:rPr>
              <w:t>Definition</w:t>
            </w:r>
          </w:p>
        </w:tc>
      </w:tr>
      <w:tr w:rsidR="006636F1" w:rsidRPr="00D206D7" w14:paraId="0293E160" w14:textId="77777777" w:rsidTr="006636F1">
        <w:trPr>
          <w:trHeight w:val="216"/>
        </w:trPr>
        <w:tc>
          <w:tcPr>
            <w:tcW w:w="2773" w:type="dxa"/>
            <w:shd w:val="clear" w:color="auto" w:fill="auto"/>
            <w:noWrap/>
            <w:vAlign w:val="bottom"/>
            <w:hideMark/>
          </w:tcPr>
          <w:p w14:paraId="38C7DA12"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Internal - Exploratory Researcher</w:t>
            </w:r>
          </w:p>
        </w:tc>
        <w:tc>
          <w:tcPr>
            <w:tcW w:w="6537" w:type="dxa"/>
            <w:shd w:val="clear" w:color="auto" w:fill="auto"/>
            <w:noWrap/>
            <w:vAlign w:val="bottom"/>
            <w:hideMark/>
          </w:tcPr>
          <w:p w14:paraId="6605AB92"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Faculty who are performing experimental/feasibility testing that would be funded by the OHR (or other internal source)</w:t>
            </w:r>
          </w:p>
        </w:tc>
      </w:tr>
      <w:tr w:rsidR="006636F1" w:rsidRPr="00D206D7" w14:paraId="4F8AB046" w14:textId="77777777" w:rsidTr="006636F1">
        <w:trPr>
          <w:trHeight w:val="216"/>
        </w:trPr>
        <w:tc>
          <w:tcPr>
            <w:tcW w:w="2773" w:type="dxa"/>
            <w:shd w:val="clear" w:color="auto" w:fill="auto"/>
            <w:noWrap/>
            <w:vAlign w:val="bottom"/>
            <w:hideMark/>
          </w:tcPr>
          <w:p w14:paraId="7E39D179"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Internal- NU Sponsored Research</w:t>
            </w:r>
          </w:p>
        </w:tc>
        <w:tc>
          <w:tcPr>
            <w:tcW w:w="6537" w:type="dxa"/>
            <w:shd w:val="clear" w:color="auto" w:fill="auto"/>
            <w:noWrap/>
            <w:vAlign w:val="bottom"/>
            <w:hideMark/>
          </w:tcPr>
          <w:p w14:paraId="0B26189B"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Research projects with a defined scope/protocol and funded by an external funding source (ex. DOD grant)</w:t>
            </w:r>
          </w:p>
        </w:tc>
      </w:tr>
      <w:tr w:rsidR="006636F1" w:rsidRPr="00D206D7" w14:paraId="13CE5CEB" w14:textId="77777777" w:rsidTr="006636F1">
        <w:trPr>
          <w:trHeight w:val="216"/>
        </w:trPr>
        <w:tc>
          <w:tcPr>
            <w:tcW w:w="2773" w:type="dxa"/>
            <w:shd w:val="clear" w:color="auto" w:fill="auto"/>
            <w:noWrap/>
            <w:vAlign w:val="bottom"/>
            <w:hideMark/>
          </w:tcPr>
          <w:p w14:paraId="16994F97"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External</w:t>
            </w:r>
          </w:p>
        </w:tc>
        <w:tc>
          <w:tcPr>
            <w:tcW w:w="6537" w:type="dxa"/>
            <w:shd w:val="clear" w:color="auto" w:fill="auto"/>
            <w:noWrap/>
            <w:vAlign w:val="bottom"/>
            <w:hideMark/>
          </w:tcPr>
          <w:p w14:paraId="128F0563"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Any external entity, individual who is not part of the NU community</w:t>
            </w:r>
          </w:p>
        </w:tc>
      </w:tr>
      <w:tr w:rsidR="006636F1" w:rsidRPr="00D206D7" w14:paraId="33D69EA6" w14:textId="77777777" w:rsidTr="006636F1">
        <w:trPr>
          <w:trHeight w:val="255"/>
        </w:trPr>
        <w:tc>
          <w:tcPr>
            <w:tcW w:w="2773" w:type="dxa"/>
            <w:shd w:val="clear" w:color="auto" w:fill="auto"/>
            <w:noWrap/>
            <w:vAlign w:val="bottom"/>
            <w:hideMark/>
          </w:tcPr>
          <w:p w14:paraId="6ECF4E74"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Strategic Partner</w:t>
            </w:r>
          </w:p>
        </w:tc>
        <w:tc>
          <w:tcPr>
            <w:tcW w:w="6537" w:type="dxa"/>
            <w:shd w:val="clear" w:color="auto" w:fill="auto"/>
            <w:vAlign w:val="bottom"/>
            <w:hideMark/>
          </w:tcPr>
          <w:p w14:paraId="2201A2FE" w14:textId="77777777" w:rsidR="006636F1" w:rsidRPr="00D206D7" w:rsidRDefault="006636F1" w:rsidP="006636F1">
            <w:pPr>
              <w:spacing w:after="0" w:line="240" w:lineRule="auto"/>
              <w:rPr>
                <w:rFonts w:ascii="Helvetica" w:eastAsia="Times New Roman" w:hAnsi="Helvetica" w:cs="Arial"/>
                <w:sz w:val="16"/>
                <w:szCs w:val="16"/>
                <w:lang w:eastAsia="zh-TW"/>
              </w:rPr>
            </w:pPr>
            <w:r w:rsidRPr="00D206D7">
              <w:rPr>
                <w:rFonts w:ascii="Helvetica" w:eastAsia="Times New Roman" w:hAnsi="Helvetica" w:cs="Arial"/>
                <w:sz w:val="16"/>
                <w:szCs w:val="16"/>
                <w:lang w:eastAsia="zh-TW"/>
              </w:rPr>
              <w:t>Strategic corporate partnerships, such as Rogers, Raytheon and VR</w:t>
            </w:r>
            <w:r>
              <w:rPr>
                <w:rFonts w:ascii="Helvetica" w:eastAsia="Times New Roman" w:hAnsi="Helvetica" w:cs="Arial"/>
                <w:sz w:val="16"/>
                <w:szCs w:val="16"/>
                <w:lang w:eastAsia="zh-TW"/>
              </w:rPr>
              <w:t>C</w:t>
            </w:r>
          </w:p>
        </w:tc>
      </w:tr>
    </w:tbl>
    <w:p w14:paraId="0A0BB3CF" w14:textId="77777777" w:rsidR="006636F1" w:rsidRDefault="002971CA" w:rsidP="00010379">
      <w:pPr>
        <w:pStyle w:val="ListParagraph"/>
        <w:numPr>
          <w:ilvl w:val="0"/>
          <w:numId w:val="3"/>
        </w:numPr>
      </w:pPr>
      <w:r>
        <w:t>For the</w:t>
      </w:r>
      <w:r w:rsidR="00010379">
        <w:t xml:space="preserve"> </w:t>
      </w:r>
      <w:r w:rsidR="00481639" w:rsidRPr="00EF0FF4">
        <w:rPr>
          <w:b/>
          <w:bCs/>
        </w:rPr>
        <w:t>Break-Even Rate</w:t>
      </w:r>
      <w:r w:rsidR="00EF0FF4">
        <w:t xml:space="preserve"> section</w:t>
      </w:r>
      <w:r w:rsidR="00481639">
        <w:t xml:space="preserve">, </w:t>
      </w:r>
      <w:r w:rsidR="00D66331">
        <w:t xml:space="preserve">the </w:t>
      </w:r>
      <w:r w:rsidR="006636F1">
        <w:t>internal rate and external rate will calculate automatically. The External Rate section has included the 57% F&amp;A rate in the formula.</w:t>
      </w:r>
    </w:p>
    <w:p w14:paraId="16D97482" w14:textId="5A65FCA6" w:rsidR="006636F1" w:rsidRDefault="006636F1" w:rsidP="00010379">
      <w:pPr>
        <w:pStyle w:val="ListParagraph"/>
        <w:numPr>
          <w:ilvl w:val="0"/>
          <w:numId w:val="3"/>
        </w:numPr>
      </w:pPr>
      <w:r>
        <w:t xml:space="preserve">For the </w:t>
      </w:r>
      <w:r w:rsidRPr="006636F1">
        <w:rPr>
          <w:b/>
          <w:bCs/>
        </w:rPr>
        <w:t>Usage by User Group</w:t>
      </w:r>
      <w:r>
        <w:t xml:space="preserve"> section, enter the anticipated annual units of usage for each user group. Ideally, this projection should be based on previous usage data if this is available for the service. Below chart has the explanations of each user group. Total usage for each service should match the </w:t>
      </w:r>
      <w:r w:rsidRPr="006636F1">
        <w:rPr>
          <w:b/>
          <w:bCs/>
        </w:rPr>
        <w:t>Actual Annual Volume</w:t>
      </w:r>
      <w:r>
        <w:t xml:space="preserve"> for each service on the top of the sheet.  </w:t>
      </w:r>
    </w:p>
    <w:p w14:paraId="4684F89C" w14:textId="214EB25D" w:rsidR="006636F1" w:rsidRDefault="00BA0655" w:rsidP="00010379">
      <w:pPr>
        <w:pStyle w:val="ListParagraph"/>
        <w:numPr>
          <w:ilvl w:val="0"/>
          <w:numId w:val="3"/>
        </w:numPr>
      </w:pPr>
      <w:r>
        <w:t xml:space="preserve">For the Basic Calculated Rate section, the numbers are populated automatically. Please do not adjust any numbers in this section. The purpose of this section is to show what the break-even rate </w:t>
      </w:r>
      <w:r>
        <w:lastRenderedPageBreak/>
        <w:t>is based on different user group</w:t>
      </w:r>
      <w:r w:rsidR="00BE55FD">
        <w:t xml:space="preserve"> and the proposed rate should be determined based on the break-even rate.</w:t>
      </w:r>
    </w:p>
    <w:p w14:paraId="6B6F65B9" w14:textId="3C02F2F0" w:rsidR="006636F1" w:rsidRDefault="00BE55FD" w:rsidP="00010379">
      <w:pPr>
        <w:pStyle w:val="ListParagraph"/>
        <w:numPr>
          <w:ilvl w:val="0"/>
          <w:numId w:val="3"/>
        </w:numPr>
      </w:pPr>
      <w:r>
        <w:t xml:space="preserve">For the </w:t>
      </w:r>
      <w:r w:rsidRPr="00C812E2">
        <w:rPr>
          <w:b/>
          <w:bCs/>
        </w:rPr>
        <w:t>Proposed Operating Rate</w:t>
      </w:r>
      <w:r>
        <w:t xml:space="preserve"> section, </w:t>
      </w:r>
      <w:r w:rsidR="00C812E2">
        <w:t>you can input your proposed rate for each service based on different user group. Please be aware that the internal proposed rate cannot be higher than the internal break-even rate.</w:t>
      </w:r>
    </w:p>
    <w:p w14:paraId="74293522" w14:textId="666658ED" w:rsidR="006636F1" w:rsidRDefault="00C812E2" w:rsidP="00010379">
      <w:pPr>
        <w:pStyle w:val="ListParagraph"/>
        <w:numPr>
          <w:ilvl w:val="0"/>
          <w:numId w:val="3"/>
        </w:numPr>
      </w:pPr>
      <w:r>
        <w:t xml:space="preserve">The </w:t>
      </w:r>
      <w:r w:rsidRPr="00D1573B">
        <w:rPr>
          <w:b/>
          <w:bCs/>
        </w:rPr>
        <w:t>Estimated Revenue</w:t>
      </w:r>
      <w:r>
        <w:t xml:space="preserve"> under the </w:t>
      </w:r>
      <w:r w:rsidRPr="00D1573B">
        <w:rPr>
          <w:b/>
          <w:bCs/>
        </w:rPr>
        <w:t>Proposed Operating Rate</w:t>
      </w:r>
      <w:r>
        <w:t xml:space="preserve"> section will </w:t>
      </w:r>
      <w:r w:rsidR="00D1573B">
        <w:t xml:space="preserve">be </w:t>
      </w:r>
      <w:r>
        <w:t>populate</w:t>
      </w:r>
      <w:r w:rsidR="00D1573B">
        <w:t>d</w:t>
      </w:r>
      <w:r>
        <w:t xml:space="preserve"> automatically after </w:t>
      </w:r>
      <w:r w:rsidR="00D1573B">
        <w:t>input</w:t>
      </w:r>
      <w:r>
        <w:t xml:space="preserve"> the proposed rate. The </w:t>
      </w:r>
      <w:r w:rsidR="00D1573B">
        <w:t>calculation of e</w:t>
      </w:r>
      <w:r>
        <w:t xml:space="preserve">stimated </w:t>
      </w:r>
      <w:r w:rsidR="00D1573B">
        <w:t>r</w:t>
      </w:r>
      <w:r>
        <w:t xml:space="preserve">evenue is based on the </w:t>
      </w:r>
      <w:r w:rsidR="00D1573B">
        <w:t>u</w:t>
      </w:r>
      <w:r>
        <w:t>s</w:t>
      </w:r>
      <w:r w:rsidR="00D1573B">
        <w:t>age by group and the proposed rate.</w:t>
      </w:r>
    </w:p>
    <w:p w14:paraId="7F6E6A3D" w14:textId="22B9D5EA" w:rsidR="000065F3" w:rsidRDefault="000065F3" w:rsidP="00010379">
      <w:pPr>
        <w:pStyle w:val="ListParagraph"/>
        <w:numPr>
          <w:ilvl w:val="0"/>
          <w:numId w:val="3"/>
        </w:numPr>
      </w:pPr>
      <w:r>
        <w:t xml:space="preserve">All the bottom sections will be populated automatically except Subsidy line. The </w:t>
      </w:r>
      <w:r w:rsidRPr="000065F3">
        <w:rPr>
          <w:b/>
          <w:bCs/>
        </w:rPr>
        <w:t>Subsidy</w:t>
      </w:r>
      <w:r>
        <w:t xml:space="preserve"> line are numbers pulling from the </w:t>
      </w:r>
      <w:r w:rsidRPr="000065F3">
        <w:rPr>
          <w:b/>
          <w:bCs/>
        </w:rPr>
        <w:t xml:space="preserve">Subsidy </w:t>
      </w:r>
      <w:r>
        <w:t>tab.</w:t>
      </w:r>
    </w:p>
    <w:p w14:paraId="4E50361E" w14:textId="0D4AAF26" w:rsidR="000065F3" w:rsidRDefault="000065F3" w:rsidP="00010379">
      <w:pPr>
        <w:pStyle w:val="ListParagraph"/>
        <w:numPr>
          <w:ilvl w:val="0"/>
          <w:numId w:val="3"/>
        </w:numPr>
      </w:pPr>
      <w:r w:rsidRPr="00216EA9">
        <w:rPr>
          <w:b/>
          <w:bCs/>
        </w:rPr>
        <w:t>Estimated Total Revenue by service</w:t>
      </w:r>
      <w:r>
        <w:t xml:space="preserve"> line represents the total revenue for each service</w:t>
      </w:r>
    </w:p>
    <w:p w14:paraId="052DFFDA" w14:textId="1A0EA4E7" w:rsidR="000065F3" w:rsidRDefault="000065F3" w:rsidP="00010379">
      <w:pPr>
        <w:pStyle w:val="ListParagraph"/>
        <w:numPr>
          <w:ilvl w:val="0"/>
          <w:numId w:val="3"/>
        </w:numPr>
      </w:pPr>
      <w:r w:rsidRPr="00216EA9">
        <w:rPr>
          <w:b/>
          <w:bCs/>
        </w:rPr>
        <w:t>Estimated Surplus (Deficit) by service</w:t>
      </w:r>
      <w:r>
        <w:t xml:space="preserve"> represents the Surplus or Deficit between total revenue and total direct costs</w:t>
      </w:r>
    </w:p>
    <w:p w14:paraId="3ED8EC10" w14:textId="1F1C98E0" w:rsidR="000065F3" w:rsidRDefault="000065F3" w:rsidP="00010379">
      <w:pPr>
        <w:pStyle w:val="ListParagraph"/>
        <w:numPr>
          <w:ilvl w:val="0"/>
          <w:numId w:val="3"/>
        </w:numPr>
      </w:pPr>
      <w:r w:rsidRPr="00216EA9">
        <w:rPr>
          <w:b/>
          <w:bCs/>
        </w:rPr>
        <w:t>Margin by Service</w:t>
      </w:r>
      <w:r>
        <w:t xml:space="preserve"> line represents </w:t>
      </w:r>
      <w:bookmarkStart w:id="0" w:name="_Hlk88660462"/>
      <w:r>
        <w:t xml:space="preserve">the % of </w:t>
      </w:r>
      <w:r w:rsidR="00216EA9">
        <w:t>surplus or deficit over the total direct costs</w:t>
      </w:r>
      <w:bookmarkEnd w:id="0"/>
    </w:p>
    <w:p w14:paraId="272189BE" w14:textId="1EB25651" w:rsidR="00216EA9" w:rsidRDefault="00216EA9" w:rsidP="00010379">
      <w:pPr>
        <w:pStyle w:val="ListParagraph"/>
        <w:numPr>
          <w:ilvl w:val="0"/>
          <w:numId w:val="3"/>
        </w:numPr>
      </w:pPr>
      <w:r w:rsidRPr="00216EA9">
        <w:rPr>
          <w:b/>
          <w:bCs/>
        </w:rPr>
        <w:t>Estimated Surplus (Deficit) by Service after Subsidy</w:t>
      </w:r>
      <w:r>
        <w:t xml:space="preserve"> line represents the surplus and deficit after including the subsidy. And the </w:t>
      </w:r>
      <w:r w:rsidRPr="00216EA9">
        <w:rPr>
          <w:b/>
          <w:bCs/>
        </w:rPr>
        <w:t>Margin by Service after Subsidy</w:t>
      </w:r>
      <w:r>
        <w:t xml:space="preserve"> line represents the </w:t>
      </w:r>
      <w:r w:rsidRPr="00216EA9">
        <w:t>% of surplus or deficit over the total direct costs</w:t>
      </w:r>
      <w:r>
        <w:t xml:space="preserve"> after including the subsidy.</w:t>
      </w:r>
    </w:p>
    <w:p w14:paraId="545DD520" w14:textId="29F3450A" w:rsidR="000065F3" w:rsidRDefault="000065F3" w:rsidP="00010379">
      <w:pPr>
        <w:pStyle w:val="ListParagraph"/>
        <w:numPr>
          <w:ilvl w:val="0"/>
          <w:numId w:val="3"/>
        </w:numPr>
      </w:pPr>
      <w:r>
        <w:t>Make sure to update the data for year 2 and year 3 tabs as well.</w:t>
      </w:r>
    </w:p>
    <w:p w14:paraId="1C9F9CAF" w14:textId="77777777" w:rsidR="00901CF3" w:rsidRDefault="004500B2"/>
    <w:sectPr w:rsidR="00901CF3" w:rsidSect="002270D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8E257" w14:textId="77777777" w:rsidR="004500B2" w:rsidRDefault="004500B2" w:rsidP="00010379">
      <w:pPr>
        <w:spacing w:after="0" w:line="240" w:lineRule="auto"/>
      </w:pPr>
      <w:r>
        <w:separator/>
      </w:r>
    </w:p>
  </w:endnote>
  <w:endnote w:type="continuationSeparator" w:id="0">
    <w:p w14:paraId="2F6DA58E" w14:textId="77777777" w:rsidR="004500B2" w:rsidRDefault="004500B2" w:rsidP="0001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4AC89" w14:textId="77777777" w:rsidR="008D294B" w:rsidRPr="006F426A" w:rsidRDefault="00010379">
    <w:pPr>
      <w:pStyle w:val="Footer"/>
      <w:rPr>
        <w:sz w:val="18"/>
      </w:rPr>
    </w:pPr>
    <w:r>
      <w:rPr>
        <w:sz w:val="18"/>
      </w:rPr>
      <w:t>Instructions for Completing NU Rate Estimation</w:t>
    </w:r>
    <w:r w:rsidRPr="006F426A">
      <w:rPr>
        <w:sz w:val="18"/>
      </w:rPr>
      <w:t xml:space="preserve"> Template, page </w:t>
    </w:r>
    <w:r w:rsidRPr="006F426A">
      <w:rPr>
        <w:sz w:val="18"/>
      </w:rPr>
      <w:fldChar w:fldCharType="begin"/>
    </w:r>
    <w:r w:rsidRPr="006F426A">
      <w:rPr>
        <w:sz w:val="18"/>
      </w:rPr>
      <w:instrText xml:space="preserve"> PAGE   \* MERGEFORMAT </w:instrText>
    </w:r>
    <w:r w:rsidRPr="006F426A">
      <w:rPr>
        <w:sz w:val="18"/>
      </w:rPr>
      <w:fldChar w:fldCharType="separate"/>
    </w:r>
    <w:r>
      <w:rPr>
        <w:noProof/>
        <w:sz w:val="18"/>
      </w:rPr>
      <w:t>4</w:t>
    </w:r>
    <w:r w:rsidRPr="006F426A">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99712" w14:textId="77777777" w:rsidR="004500B2" w:rsidRDefault="004500B2" w:rsidP="00010379">
      <w:pPr>
        <w:spacing w:after="0" w:line="240" w:lineRule="auto"/>
      </w:pPr>
      <w:r>
        <w:separator/>
      </w:r>
    </w:p>
  </w:footnote>
  <w:footnote w:type="continuationSeparator" w:id="0">
    <w:p w14:paraId="770786C4" w14:textId="77777777" w:rsidR="004500B2" w:rsidRDefault="004500B2" w:rsidP="0001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16E6" w14:textId="07354C39" w:rsidR="006F426A" w:rsidRDefault="00010379" w:rsidP="0060610D">
    <w:pPr>
      <w:pStyle w:val="Header"/>
      <w:tabs>
        <w:tab w:val="left" w:pos="6891"/>
      </w:tabs>
    </w:pPr>
    <w:r>
      <w:rPr>
        <w:noProof/>
      </w:rPr>
      <w:drawing>
        <wp:inline distT="0" distB="0" distL="0" distR="0" wp14:anchorId="197E1C66" wp14:editId="16142D54">
          <wp:extent cx="149178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0252" cy="567082"/>
                  </a:xfrm>
                  <a:prstGeom prst="rect">
                    <a:avLst/>
                  </a:prstGeom>
                </pic:spPr>
              </pic:pic>
            </a:graphicData>
          </a:graphic>
        </wp:inline>
      </w:drawing>
    </w:r>
    <w:r>
      <w:tab/>
    </w:r>
    <w:r>
      <w:tab/>
    </w:r>
    <w:r w:rsidR="00531E70">
      <w:tab/>
    </w:r>
    <w:r>
      <w:t xml:space="preserve">Revised </w:t>
    </w:r>
    <w:r w:rsidR="000065F3">
      <w:t>11</w:t>
    </w:r>
    <w:r w:rsidR="000309C2">
      <w:t>/</w:t>
    </w:r>
    <w:r w:rsidR="000065F3">
      <w:t>24</w:t>
    </w:r>
    <w:r w:rsidR="000309C2">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91EA4"/>
    <w:multiLevelType w:val="hybridMultilevel"/>
    <w:tmpl w:val="4A724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A3345"/>
    <w:multiLevelType w:val="hybridMultilevel"/>
    <w:tmpl w:val="79C84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0500E"/>
    <w:multiLevelType w:val="hybridMultilevel"/>
    <w:tmpl w:val="1588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E1B0D"/>
    <w:multiLevelType w:val="hybridMultilevel"/>
    <w:tmpl w:val="F35245C8"/>
    <w:lvl w:ilvl="0" w:tplc="76287DF0">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614A3"/>
    <w:multiLevelType w:val="hybridMultilevel"/>
    <w:tmpl w:val="AFA0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5615"/>
    <w:multiLevelType w:val="hybridMultilevel"/>
    <w:tmpl w:val="79C84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35377D"/>
    <w:multiLevelType w:val="hybridMultilevel"/>
    <w:tmpl w:val="E508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108F8"/>
    <w:multiLevelType w:val="hybridMultilevel"/>
    <w:tmpl w:val="4A724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66BC8"/>
    <w:multiLevelType w:val="hybridMultilevel"/>
    <w:tmpl w:val="AFA01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sDQGkkYW5hYWlko6SsGpxcWZ+XkgBea1AOL/YoksAAAA"/>
  </w:docVars>
  <w:rsids>
    <w:rsidRoot w:val="00010379"/>
    <w:rsid w:val="000001A6"/>
    <w:rsid w:val="00003D60"/>
    <w:rsid w:val="000065F3"/>
    <w:rsid w:val="00010379"/>
    <w:rsid w:val="00011F89"/>
    <w:rsid w:val="000207A5"/>
    <w:rsid w:val="00024DFB"/>
    <w:rsid w:val="000309C2"/>
    <w:rsid w:val="00051C72"/>
    <w:rsid w:val="000661EF"/>
    <w:rsid w:val="00094DFE"/>
    <w:rsid w:val="000A4BD2"/>
    <w:rsid w:val="000B1FDB"/>
    <w:rsid w:val="000C7CD8"/>
    <w:rsid w:val="00101E09"/>
    <w:rsid w:val="001074E7"/>
    <w:rsid w:val="0012786E"/>
    <w:rsid w:val="00135A2A"/>
    <w:rsid w:val="00166F1C"/>
    <w:rsid w:val="001956D3"/>
    <w:rsid w:val="001B6B33"/>
    <w:rsid w:val="001D7DCF"/>
    <w:rsid w:val="00202530"/>
    <w:rsid w:val="00216EA9"/>
    <w:rsid w:val="00220CB2"/>
    <w:rsid w:val="0023698C"/>
    <w:rsid w:val="002374CE"/>
    <w:rsid w:val="00270068"/>
    <w:rsid w:val="002971CA"/>
    <w:rsid w:val="002F1E51"/>
    <w:rsid w:val="00311737"/>
    <w:rsid w:val="003133E2"/>
    <w:rsid w:val="00322846"/>
    <w:rsid w:val="00346680"/>
    <w:rsid w:val="00355294"/>
    <w:rsid w:val="0035753D"/>
    <w:rsid w:val="003837FF"/>
    <w:rsid w:val="0038482B"/>
    <w:rsid w:val="003B495A"/>
    <w:rsid w:val="003C057E"/>
    <w:rsid w:val="003E17E9"/>
    <w:rsid w:val="003F19BF"/>
    <w:rsid w:val="00413EF4"/>
    <w:rsid w:val="004335F1"/>
    <w:rsid w:val="004500B2"/>
    <w:rsid w:val="00481639"/>
    <w:rsid w:val="00484BAD"/>
    <w:rsid w:val="00493A45"/>
    <w:rsid w:val="004A0E6F"/>
    <w:rsid w:val="00531E70"/>
    <w:rsid w:val="0055342A"/>
    <w:rsid w:val="00553FB8"/>
    <w:rsid w:val="00556467"/>
    <w:rsid w:val="00576EE8"/>
    <w:rsid w:val="005822D9"/>
    <w:rsid w:val="005920FB"/>
    <w:rsid w:val="0059282E"/>
    <w:rsid w:val="00592D61"/>
    <w:rsid w:val="005C45EC"/>
    <w:rsid w:val="0060610D"/>
    <w:rsid w:val="006176D8"/>
    <w:rsid w:val="00623500"/>
    <w:rsid w:val="006636F1"/>
    <w:rsid w:val="00665C25"/>
    <w:rsid w:val="00667925"/>
    <w:rsid w:val="00681C42"/>
    <w:rsid w:val="006A0922"/>
    <w:rsid w:val="006A7CB1"/>
    <w:rsid w:val="006B738C"/>
    <w:rsid w:val="006D6BC0"/>
    <w:rsid w:val="006D75F0"/>
    <w:rsid w:val="006F7489"/>
    <w:rsid w:val="00751A99"/>
    <w:rsid w:val="007A385D"/>
    <w:rsid w:val="007A7B7A"/>
    <w:rsid w:val="007B06C1"/>
    <w:rsid w:val="007C06D7"/>
    <w:rsid w:val="007C62EC"/>
    <w:rsid w:val="007D23FC"/>
    <w:rsid w:val="0082600E"/>
    <w:rsid w:val="00843F24"/>
    <w:rsid w:val="00873316"/>
    <w:rsid w:val="00875860"/>
    <w:rsid w:val="008A00F7"/>
    <w:rsid w:val="008C36E2"/>
    <w:rsid w:val="00940B7F"/>
    <w:rsid w:val="00953ACD"/>
    <w:rsid w:val="00954F59"/>
    <w:rsid w:val="00955144"/>
    <w:rsid w:val="00974615"/>
    <w:rsid w:val="00977410"/>
    <w:rsid w:val="00980D6B"/>
    <w:rsid w:val="009A16BD"/>
    <w:rsid w:val="009A3533"/>
    <w:rsid w:val="009B1C2E"/>
    <w:rsid w:val="009D133F"/>
    <w:rsid w:val="009D65D7"/>
    <w:rsid w:val="009E7A02"/>
    <w:rsid w:val="00A2466C"/>
    <w:rsid w:val="00A354E0"/>
    <w:rsid w:val="00A52A17"/>
    <w:rsid w:val="00A64756"/>
    <w:rsid w:val="00A76EB8"/>
    <w:rsid w:val="00A96380"/>
    <w:rsid w:val="00AA0B79"/>
    <w:rsid w:val="00AB0B61"/>
    <w:rsid w:val="00AB46EC"/>
    <w:rsid w:val="00AC5807"/>
    <w:rsid w:val="00AE405E"/>
    <w:rsid w:val="00AE7987"/>
    <w:rsid w:val="00AF5023"/>
    <w:rsid w:val="00B06273"/>
    <w:rsid w:val="00B12CDA"/>
    <w:rsid w:val="00B25C0A"/>
    <w:rsid w:val="00B53746"/>
    <w:rsid w:val="00B56E39"/>
    <w:rsid w:val="00B57634"/>
    <w:rsid w:val="00B60F3D"/>
    <w:rsid w:val="00B71C6E"/>
    <w:rsid w:val="00BA0655"/>
    <w:rsid w:val="00BA3A02"/>
    <w:rsid w:val="00BD56FD"/>
    <w:rsid w:val="00BD6032"/>
    <w:rsid w:val="00BE50E4"/>
    <w:rsid w:val="00BE55FD"/>
    <w:rsid w:val="00BF0944"/>
    <w:rsid w:val="00C23827"/>
    <w:rsid w:val="00C5105A"/>
    <w:rsid w:val="00C63650"/>
    <w:rsid w:val="00C812E2"/>
    <w:rsid w:val="00CB138F"/>
    <w:rsid w:val="00CC45D5"/>
    <w:rsid w:val="00CF4645"/>
    <w:rsid w:val="00D0228A"/>
    <w:rsid w:val="00D14A29"/>
    <w:rsid w:val="00D1573B"/>
    <w:rsid w:val="00D206D7"/>
    <w:rsid w:val="00D5034B"/>
    <w:rsid w:val="00D56720"/>
    <w:rsid w:val="00D60C17"/>
    <w:rsid w:val="00D66331"/>
    <w:rsid w:val="00D7575C"/>
    <w:rsid w:val="00D75D9E"/>
    <w:rsid w:val="00DD4E48"/>
    <w:rsid w:val="00DF31D4"/>
    <w:rsid w:val="00DF7FFA"/>
    <w:rsid w:val="00E125D1"/>
    <w:rsid w:val="00E25C50"/>
    <w:rsid w:val="00E27F38"/>
    <w:rsid w:val="00E43540"/>
    <w:rsid w:val="00E81DA7"/>
    <w:rsid w:val="00E958CD"/>
    <w:rsid w:val="00E97A8B"/>
    <w:rsid w:val="00EB0AE7"/>
    <w:rsid w:val="00EB56DE"/>
    <w:rsid w:val="00EC3105"/>
    <w:rsid w:val="00EF0FF4"/>
    <w:rsid w:val="00EF41A3"/>
    <w:rsid w:val="00F0307B"/>
    <w:rsid w:val="00F04C27"/>
    <w:rsid w:val="00F05264"/>
    <w:rsid w:val="00F33113"/>
    <w:rsid w:val="00F7241B"/>
    <w:rsid w:val="00F72FC6"/>
    <w:rsid w:val="00F82B0A"/>
    <w:rsid w:val="00F932AA"/>
    <w:rsid w:val="00FA1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40A9"/>
  <w15:chartTrackingRefBased/>
  <w15:docId w15:val="{DF5444DD-6A6A-4896-B9F7-9B3E100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79"/>
  </w:style>
  <w:style w:type="paragraph" w:styleId="Heading1">
    <w:name w:val="heading 1"/>
    <w:basedOn w:val="Normal"/>
    <w:next w:val="Normal"/>
    <w:link w:val="Heading1Char"/>
    <w:uiPriority w:val="9"/>
    <w:qFormat/>
    <w:rsid w:val="000103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03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3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037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10379"/>
    <w:pPr>
      <w:ind w:left="720"/>
      <w:contextualSpacing/>
    </w:pPr>
  </w:style>
  <w:style w:type="paragraph" w:styleId="Header">
    <w:name w:val="header"/>
    <w:basedOn w:val="Normal"/>
    <w:link w:val="HeaderChar"/>
    <w:uiPriority w:val="99"/>
    <w:unhideWhenUsed/>
    <w:rsid w:val="00010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379"/>
  </w:style>
  <w:style w:type="paragraph" w:styleId="Footer">
    <w:name w:val="footer"/>
    <w:basedOn w:val="Normal"/>
    <w:link w:val="FooterChar"/>
    <w:uiPriority w:val="99"/>
    <w:unhideWhenUsed/>
    <w:rsid w:val="00010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79"/>
  </w:style>
  <w:style w:type="character" w:styleId="Hyperlink">
    <w:name w:val="Hyperlink"/>
    <w:basedOn w:val="DefaultParagraphFont"/>
    <w:uiPriority w:val="99"/>
    <w:unhideWhenUsed/>
    <w:rsid w:val="00010379"/>
    <w:rPr>
      <w:color w:val="0563C1" w:themeColor="hyperlink"/>
      <w:u w:val="single"/>
    </w:rPr>
  </w:style>
  <w:style w:type="paragraph" w:styleId="BalloonText">
    <w:name w:val="Balloon Text"/>
    <w:basedOn w:val="Normal"/>
    <w:link w:val="BalloonTextChar"/>
    <w:uiPriority w:val="99"/>
    <w:semiHidden/>
    <w:unhideWhenUsed/>
    <w:rsid w:val="003F19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19B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05264"/>
    <w:rPr>
      <w:color w:val="954F72" w:themeColor="followedHyperlink"/>
      <w:u w:val="single"/>
    </w:rPr>
  </w:style>
  <w:style w:type="character" w:styleId="CommentReference">
    <w:name w:val="annotation reference"/>
    <w:basedOn w:val="DefaultParagraphFont"/>
    <w:uiPriority w:val="99"/>
    <w:semiHidden/>
    <w:unhideWhenUsed/>
    <w:rsid w:val="00BD56FD"/>
    <w:rPr>
      <w:sz w:val="16"/>
      <w:szCs w:val="16"/>
    </w:rPr>
  </w:style>
  <w:style w:type="paragraph" w:styleId="CommentText">
    <w:name w:val="annotation text"/>
    <w:basedOn w:val="Normal"/>
    <w:link w:val="CommentTextChar"/>
    <w:uiPriority w:val="99"/>
    <w:semiHidden/>
    <w:unhideWhenUsed/>
    <w:rsid w:val="00BD56FD"/>
    <w:pPr>
      <w:spacing w:line="240" w:lineRule="auto"/>
    </w:pPr>
    <w:rPr>
      <w:sz w:val="20"/>
      <w:szCs w:val="20"/>
    </w:rPr>
  </w:style>
  <w:style w:type="character" w:customStyle="1" w:styleId="CommentTextChar">
    <w:name w:val="Comment Text Char"/>
    <w:basedOn w:val="DefaultParagraphFont"/>
    <w:link w:val="CommentText"/>
    <w:uiPriority w:val="99"/>
    <w:semiHidden/>
    <w:rsid w:val="00BD56FD"/>
    <w:rPr>
      <w:sz w:val="20"/>
      <w:szCs w:val="20"/>
    </w:rPr>
  </w:style>
  <w:style w:type="paragraph" w:styleId="CommentSubject">
    <w:name w:val="annotation subject"/>
    <w:basedOn w:val="CommentText"/>
    <w:next w:val="CommentText"/>
    <w:link w:val="CommentSubjectChar"/>
    <w:uiPriority w:val="99"/>
    <w:semiHidden/>
    <w:unhideWhenUsed/>
    <w:rsid w:val="00BD56FD"/>
    <w:rPr>
      <w:b/>
      <w:bCs/>
    </w:rPr>
  </w:style>
  <w:style w:type="character" w:customStyle="1" w:styleId="CommentSubjectChar">
    <w:name w:val="Comment Subject Char"/>
    <w:basedOn w:val="CommentTextChar"/>
    <w:link w:val="CommentSubject"/>
    <w:uiPriority w:val="99"/>
    <w:semiHidden/>
    <w:rsid w:val="00BD56FD"/>
    <w:rPr>
      <w:b/>
      <w:bCs/>
      <w:sz w:val="20"/>
      <w:szCs w:val="20"/>
    </w:rPr>
  </w:style>
  <w:style w:type="paragraph" w:styleId="Revision">
    <w:name w:val="Revision"/>
    <w:hidden/>
    <w:uiPriority w:val="99"/>
    <w:semiHidden/>
    <w:rsid w:val="00BD56FD"/>
    <w:pPr>
      <w:spacing w:after="0" w:line="240" w:lineRule="auto"/>
    </w:pPr>
  </w:style>
  <w:style w:type="character" w:styleId="UnresolvedMention">
    <w:name w:val="Unresolved Mention"/>
    <w:basedOn w:val="DefaultParagraphFont"/>
    <w:uiPriority w:val="99"/>
    <w:semiHidden/>
    <w:unhideWhenUsed/>
    <w:rsid w:val="0006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119771">
      <w:bodyDiv w:val="1"/>
      <w:marLeft w:val="0"/>
      <w:marRight w:val="0"/>
      <w:marTop w:val="0"/>
      <w:marBottom w:val="0"/>
      <w:divBdr>
        <w:top w:val="none" w:sz="0" w:space="0" w:color="auto"/>
        <w:left w:val="none" w:sz="0" w:space="0" w:color="auto"/>
        <w:bottom w:val="none" w:sz="0" w:space="0" w:color="auto"/>
        <w:right w:val="none" w:sz="0" w:space="0" w:color="auto"/>
      </w:divBdr>
    </w:div>
    <w:div w:id="1488785362">
      <w:bodyDiv w:val="1"/>
      <w:marLeft w:val="0"/>
      <w:marRight w:val="0"/>
      <w:marTop w:val="0"/>
      <w:marBottom w:val="0"/>
      <w:divBdr>
        <w:top w:val="none" w:sz="0" w:space="0" w:color="auto"/>
        <w:left w:val="none" w:sz="0" w:space="0" w:color="auto"/>
        <w:bottom w:val="none" w:sz="0" w:space="0" w:color="auto"/>
        <w:right w:val="none" w:sz="0" w:space="0" w:color="auto"/>
      </w:divBdr>
    </w:div>
    <w:div w:id="1716616260">
      <w:bodyDiv w:val="1"/>
      <w:marLeft w:val="0"/>
      <w:marRight w:val="0"/>
      <w:marTop w:val="0"/>
      <w:marBottom w:val="0"/>
      <w:divBdr>
        <w:top w:val="none" w:sz="0" w:space="0" w:color="auto"/>
        <w:left w:val="none" w:sz="0" w:space="0" w:color="auto"/>
        <w:bottom w:val="none" w:sz="0" w:space="0" w:color="auto"/>
        <w:right w:val="none" w:sz="0" w:space="0" w:color="auto"/>
      </w:divBdr>
    </w:div>
    <w:div w:id="18291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eastern.edu/sabo/wp-content/uploads/2018/02/SABO-Acccount-Codes-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ortheastern.edu/sabo/wp-content/uploads/2018/02/SABO-Acccount-Codes-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63A0C19CE6CD4BBB45466710571C93" ma:contentTypeVersion="14" ma:contentTypeDescription="Create a new document." ma:contentTypeScope="" ma:versionID="ea9563e5c2e74c8161dd9bb60b54b6a0">
  <xsd:schema xmlns:xsd="http://www.w3.org/2001/XMLSchema" xmlns:xs="http://www.w3.org/2001/XMLSchema" xmlns:p="http://schemas.microsoft.com/office/2006/metadata/properties" xmlns:ns2="6ad580ae-21fb-43ea-9a5e-53c8ebf7464c" xmlns:ns3="89a8cff0-8163-42ee-ab49-4df8d7b57d78" targetNamespace="http://schemas.microsoft.com/office/2006/metadata/properties" ma:root="true" ma:fieldsID="709145a8109d4e3cc412a3a19df34995" ns2:_="" ns3:_="">
    <xsd:import namespace="6ad580ae-21fb-43ea-9a5e-53c8ebf7464c"/>
    <xsd:import namespace="89a8cff0-8163-42ee-ab49-4df8d7b57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580ae-21fb-43ea-9a5e-53c8ebf74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8cff0-8163-42ee-ab49-4df8d7b57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a8cff0-8163-42ee-ab49-4df8d7b57d78">
      <UserInfo>
        <DisplayName>Somu, Sivasubramanian</DisplayName>
        <AccountId>38</AccountId>
        <AccountType/>
      </UserInfo>
      <UserInfo>
        <DisplayName>Core Facilities Visitors</DisplayName>
        <AccountId>4</AccountId>
        <AccountType/>
      </UserInfo>
      <UserInfo>
        <DisplayName>Liang, Wentao</DisplayName>
        <AccountId>39</AccountId>
        <AccountType/>
      </UserInfo>
    </SharedWithUsers>
  </documentManagement>
</p:properties>
</file>

<file path=customXml/itemProps1.xml><?xml version="1.0" encoding="utf-8"?>
<ds:datastoreItem xmlns:ds="http://schemas.openxmlformats.org/officeDocument/2006/customXml" ds:itemID="{77EF88F3-3341-4A71-8CE1-03BC5AF1FCB8}">
  <ds:schemaRefs>
    <ds:schemaRef ds:uri="http://schemas.microsoft.com/sharepoint/v3/contenttype/forms"/>
  </ds:schemaRefs>
</ds:datastoreItem>
</file>

<file path=customXml/itemProps2.xml><?xml version="1.0" encoding="utf-8"?>
<ds:datastoreItem xmlns:ds="http://schemas.openxmlformats.org/officeDocument/2006/customXml" ds:itemID="{641E5004-4567-48E6-927F-D2772CC0BE25}"/>
</file>

<file path=customXml/itemProps3.xml><?xml version="1.0" encoding="utf-8"?>
<ds:datastoreItem xmlns:ds="http://schemas.openxmlformats.org/officeDocument/2006/customXml" ds:itemID="{18AE1C25-BBAF-430B-B588-93798C4E237D}">
  <ds:schemaRefs>
    <ds:schemaRef ds:uri="http://schemas.microsoft.com/office/2006/metadata/properties"/>
    <ds:schemaRef ds:uri="http://schemas.microsoft.com/office/infopath/2007/PartnerControls"/>
    <ds:schemaRef ds:uri="89a8cff0-8163-42ee-ab49-4df8d7b57d78"/>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Budil, David</dc:creator>
  <cp:keywords/>
  <dc:description/>
  <cp:lastModifiedBy>Mui, Peggy</cp:lastModifiedBy>
  <cp:revision>8</cp:revision>
  <dcterms:created xsi:type="dcterms:W3CDTF">2021-11-24T15:22:00Z</dcterms:created>
  <dcterms:modified xsi:type="dcterms:W3CDTF">2021-12-07T16:10:00Z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0x010100D463A0C19CE6CD4BBB45466710571C93</vt:lpwstr>
  </property>
</Properties>
</file>